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ATAS/242/2015 vom 1. April 2015</w:t>
      </w:r>
    </w:p>
    <w:p>
      <w:r>
        <w:t>GE Cour de justice, 2015-04-01, FR</w:t>
      </w:r>
    </w:p>
    <w:p>
      <w:r>
        <w:rPr>
          <w:b/>
        </w:rPr>
        <w:t xml:space="preserve">Quelle: </w:t>
      </w:r>
      <w:r>
        <w:t>https://mcp.opencaselaw.ch/entscheid/ge_gerichte_ATAS_242_2015</w:t>
      </w:r>
    </w:p>
    <w:p>
      <w:r>
        <w:t>FR: GE_GERICHTE ATAS/242/2015 du 1 avril 2015</w:t>
      </w:r>
    </w:p>
    <w:p>
      <w:r>
        <w:t>IT: GE_GERICHTE ATAS/242/2015 del 1 aprile 2015</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Le présent recours a été interjeté dans la forme et le délai prévus par la loi, et le recourant a qualité pour recourir. Le recours est recevable (art. 56ss LPGA ; art. 89B de la loi sur la procédure administrative du 12 septembre 1985 – LPA – E 5 10).</w:t>
      </w:r>
    </w:p>
    <w:p>
      <w:r>
        <w:rPr>
          <w:b/>
        </w:rPr>
        <w:t>E. 2</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de l'ancien droit pour la période jusqu'au 31 décembre 2011, et, après le 1er janvier 2012, en fonction des modifications de la LAI, dans la mesure de leur pertinence (ATF 130 V 445 et les références; voir également ATF 130 V 329).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w:t>
      </w:r>
    </w:p>
    <w:p>
      <w:r>
        <w:rPr>
          <w:b/>
        </w:rPr>
        <w:t>E. 3</w:t>
      </w:r>
    </w:p>
    <w:p>
      <w:r>
        <w:t>Le litige porte sur le droit du recourant à une rente d’invalidité, singulièrement sur sa capacité de travail, étant rappelé qu’il ne conteste pas la décision de l’intimé en ce qu’elle fixe son degré d’invalidité à 30% au regard de ses atteintes à la santé physique.</w:t>
      </w:r>
    </w:p>
    <w:p>
      <w:r>
        <w:rPr>
          <w:b/>
        </w:rPr>
        <w:t>E. 4</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w:t>
      </w:r>
    </w:p>
    <w:p>
      <w:r>
        <w:t>A/1466/2013 - 17/26 -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rPr>
          <w:b/>
        </w:rPr>
        <w:t>E. 5</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Selon les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6</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w:t>
      </w:r>
    </w:p>
    <w:p>
      <w:r>
        <w:t>A/1466/2013 - 18/26 - profit de sa capacité de travail ne peut, pratiquement, plus être raisonnablement exigée de lui, ou qu'elle serait même insupportable pour la société (ATF 127 V 294, consid. 4c ;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 A teneur de la jurisprudence constante du Tribunal fédéral, une dépendance comme l’alcoolisme, la pharmacodépendance ou la toxicomanie ne constitue pas en soi une invalidité au sens de la loi. En revanche, elle joue un rôle dans l’assurance- invalidité lorsqu’elle a provoqué une atteinte à la santé physique ou mentale qui nuit à la capacité de gain de l’assuré, ou si elle résulte elle-même d’une atteinte à la santé physique ou mentale qui a valeur de maladie (ATF 99 V 28 consid. 2; VSI 2002 p. 32 consid. 2a, 1996 p. 319 consid. 2a).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 en tenant compte de l'ensemble des limitations liées à la maladie psychique et à la dépendance (arrêt du Tribunal fédéral 9C_72/2012 du 21 août 2012 consid. 3). Cependant, l'existence d'une comorbidité psychiatrique ne constitue pas encore un fondement suffisant pour conclure sur le plan juridique à une invalidité en raison d'une dépendance. L'affection psychique mise en évidence doit contribuer pour le moins dans des proportions considérables à l'incapacité de gain de l'assuré.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de distinguer entre les différentes atteintes à la santé (arrêt du Tribunal fédéral 9C_395/2007 du 15 avril 2008 consid. 2.4).</w:t>
      </w:r>
    </w:p>
    <w:p>
      <w:r>
        <w:t>A/1466/2013 - 19/26 - 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ils ne sauraient par conséquent faire l'objet d'un diagnostic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(arrêt du Tribunal fédéral 9C_395/07 du 15 avril 2008 consid. 2.3).</w:t>
      </w:r>
    </w:p>
    <w:p>
      <w:r>
        <w:rPr>
          <w:b/>
        </w:rPr>
        <w:t>E. 7</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w:t>
      </w:r>
    </w:p>
    <w:p>
      <w:r>
        <w:t>A/1466/2013 - 20/26 -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Enfin, on rappellera que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8</w:t>
      </w:r>
    </w:p>
    <w:p>
      <w:r>
        <w:t>En l’espèce, l’intimé a considéré, sur base des rapports du SMR, que le recourant présentait, d’un point de vue psychique, des troubles mentaux et du comportement liés à l’utilisation d’alcool, ainsi que des troubles thymiques résiduels, sans effet durable sur la capacité de travail. La dépendance à l’alcool était d’origine primaire et non invalidante au sens de l’assurance-invalidité. Quant à lui, le recourant a soutenu que son alcoolisme était d’origine secondaire et qu’il était totalement incapable de travailler en raison d’une dépression. Suite à l’état d’abstinence du recourant, la chambre de céans a mis en œuvre une expertise judiciaire. Il convient donc d’apprécier la valeur probante de ce document à l’aune des critères jurisprudentiels en matière de rapports médicaux.</w:t>
      </w:r>
    </w:p>
    <w:p>
      <w:r>
        <w:rPr>
          <w:b/>
        </w:rPr>
        <w:t>E. 9</w:t>
      </w:r>
    </w:p>
    <w:p>
      <w:r>
        <w:t>a. Dans son rapport du 27 novembre 2014, le Dr L______ a diagnostiqué une dépendance alcoolique, en rémission précoce complète, un trouble dépressif majeur récurrent, en rémission totale, une personnalité borderline, des traits de la personnalité dépendants décompensés, et une personnalité fruste, ajoutant que ces</w:t>
      </w:r>
    </w:p>
    <w:p>
      <w:r>
        <w:t>A/1466/2013 - 21/26 - troubles avaient valeur de maladie. Il a conclu que le recourant était en incapacité totale de travail de novembre 2010 à décembre 2013. La chambre de céans constate que cette expertise a été réalisée en pleine connaissance du dossier, après un entretien avec la psychiatre et le médecin traitant du recourant, et en tenant compte des conclusions de la neuropsychologue, également mandatée. L’expert a procédé à une anamnèse détaillée, relevant au demeurant que cette dernière s’était avérée difficile en raison de l’incapacité du recourant à fournir une biographie précise, de sa personnalité fruste et des lacunes et contradictions contenues dans le dossier. Il a mené des investigations très poussées, relaté ses observations cliniques, et commenté minutieusement chacun des diagnostics retenus, en exposant de manière claire et convaincante les éléments sur lesquels il se fondait et les motifs pour lesquels il s’écartait de l’appréciation d’autres médecins. Reste donc à examiner si d'autres spécialistes ont émis des opinions contraires aptes à mettre sérieusement en doute la pertinence des déductions de l'expert. b. Dans son rapport du 5 décembre 2011, le SMR a retenu l’existence de troubles mentaux et du comportement liés à l’utilisation d’alcool, ainsi que de troubles thymiques résiduels, sans influence sur la capacité de travail. Or, l’expert a expliqué de manière convaincante que ce document était lacunaire à de nombreux égards. Non seulement il ne cherchait pas à connaître les circonstances, les causes, la gravité et la durée des épisodes dépressifs, mais il omettait également de mentionner l’importante dépression de 1989, ainsi que les liens temporels entre les décompensations thymiques et la perte des parents. En outre, les examinateurs du SMR ne s’étaient pas référés à la suicidalité qui avait motivé une hospitalisation psychiatrique d’urgence. L’expert a écarté le diagnostic de troubles thymiques résiduels au profit de celui d’épisode dépressif de gravité moyenne, voire sévère, car le status psychiatrique décrivait un assuré triste, anhédonique et aboulique, avec une vision pessimiste, ayant perdu beaucoup de poids et apparemment gêné de parler de sa vie sexuelle déficiente. Avaient également été observés une désorientation spatio-temporelle avec des problèmes de concentration, une fatigue, un manque d’élan, d’initiative et de projet quelconque, une automédication par des doses massives d’anxiolytiques et d’alcool. Le quotidien était sombre et la vie sociale inexistante. Le Dr M_____ a expliqué que les examinateurs n’avaient pas pu se rendre compte du degré de dépendance du recourant, lequel ne s’était probablement pas exprimé en français au cours de l’entretien. Il a également souligné que le rapport du SMR mentionnait une prise quotidienne de 120mg d’anxiolit, alors que la dose maximale autorisée était de 45mg par jour. Une telle consommation hors d’un cadre hospitalier révélait une anxiété morbide et/ou un abus de calmants, mais aucun de ces diagnostics n’était posé. Dans le même sens, le rapport faisait état de plusieurs symptômes associés habituellement à l’anxiété neurovégétative, voire à un véritable trouble panique, mais cette piste avait été écartée sans examens approfondis. L’expert a clairement</w:t>
      </w:r>
    </w:p>
    <w:p>
      <w:r>
        <w:t>A/1466/2013 - 22/26 - exposé que le rapport du SMR ne pouvait pas répondre à la question de l’origine primaire ou secondaire de l’alcoolisme puisqu’il n’avait pas établi les liens directs et étroits entre les décompensations thymiques liées à la perte des parents et les décompensations alcooliques. De même, les examinateurs n’avaient pas cherché à approfondir la blessure narcissique subie par le recourant, licencié durant le deuil de sa mère, après avoir fidèlement travaillé pour son employeur durant 26 ans. Les explications de l’expert, sérieusement motivées, apparaissent des plus convaincantes. Au surplus, la chambre de céans constate que le diagnostic de troubles thymiques résiduels posé par le SMR est également contredit par d’autres pièces du dossier, puisque le Dr D_____ (rapport du 3 juin 2011), la Dresse J_____ (rapports du 10 septembre et 7 décembre 2012), et la Dresse L_____ (rapport du 12 septembre 2013), ont retenu, à l’instar de l’expert, celui de trouble dépressif. c. Quant au rapport de la Dresse L_____ du 12 septembre 2013, laquelle a fait état d’un syndrome de dépendance alcoolique, actuellement abstinent, et d’un trouble dépressif récurrent, épisode actuel moyen, la chambre de céans observe que ses conclusions, selon lesquelles la dépendance à l’alcool ne serait pas la conséquence d’une atteinte psychique, sont basées sur des faits erronés. En effet, elle a estimé que le recourant était dépendant à l’alcool depuis l’âge de 12 ans, alors qu’il ressort de l’anamnèse du Dr M_____ que la dépendance a commencé en 1989 seulement, soit à plus de 30 ans, suite au décès du père du recourant. De surcroît, l’expert a également souligné que ce document ne mentionnait pas la décompensation de 1989 et n’établissait pas de liens directs entre la perte des parents et les décompensations thymiques et alcooliques. Ce rapport n’est donc pas non plus de nature à remettre en cause les conclusions de l’expert. d. Enfin, concernant le rapport du SMR du 12 décembre 2014, il est rappelé que les Dresses K_____ et O_____ reprochent en premier lieu à l’expert une certaine confusion résultant du mélange des terminologies de la nomenclature CIM-10 et DSM-IV, et en particulier le fait que la dénomination « majeur » ne donne pas d’indication sur le degré d’intensité du trouble dépressif, lequel peut être léger, moyen ou grave. Elles soutiennent ainsi que l’expert n’a pas déterminé l’intensité que ce trouble avait atteint dans le passé. Une telle argumentation ne saurait être suivie. En effet, si le Dr M_____ a effectivement qualifié le trouble dépressif de « majeur », sans préciser s’il correspondait à un degré léger, moyen ou grave, il a expressément noté qu’il avait été de « gravité importante » en 2011-2012 (rapport p. 36), qu’il avait été d’une « telle gravité que l’alcool servait d’automédication » jusqu’à l’introduction d’un traitement antidépresseur (rapport p. 38), et que l’ensemble du descriptif convergeait « vers le diagnostic d’un épisode dépressif majeur de gravité au moins moyenne sinon sévère » (rapport p. 44). Il est donc manifeste que l’expert a estimé que le trouble dépressif avait atteint un degré de gravité moyen, voire sévère.</w:t>
      </w:r>
    </w:p>
    <w:p>
      <w:r>
        <w:t>A/1466/2013 - 23/26 - En deuxième lieu, le SMR soutient que le Dr M_____ ne précise pas si l’alcoolisme est primaire ou secondaire. Or, il ressort clairement du rapport que l’expert a conclu que l’alcoolisme était secondaire puisqu’il a relevé: « Etablir les liens directs et étroits entre les décompensations thymiques liées à la perte des parents et les décompensations alcooliques aurait permis à l’expert AI de se rendre compte de la nature secondaire du trouble alcoolique par rapport à l’état thymique majeur » (rapport p. 45). Les Dresses K_____ et O_____ contestent ensuite l’appréciation de l’expert quant à la capacité de travail, invoquant que la neuropsychologue considérait qu’il n’y avait pas lieu de retenir des limitations de ladite ou du rendement dans les tâches simples. Cette critique tombe à faux car les conclusions de Mme N_____, laquelle a estimé que le recourant présentait une capacité de travail médico-théorique de 70%, mais qu’il n’était pas à même de chercher un emploi dans l’économie du marché par lui- même compte tenu de son comportement régressé, sont reprises par l’expert (rapport p. 14 et 42). Les Dresses K_____ et O_____ relèvent encore que les éléments retenus par le Dr M_____ à l’appui du diagnostic de trouble de la personnalité borderline et de traits de personnalité dépendants et décompensés sont peu spécifiques et insuffisants pour remplir les critères d’un trouble de la personnalité au sens de la CIM-10. Elles ajoutent que ces diagnostics n’ont jamais été évoqués par les psychiatres traitants et que la stabilité professionnelle et affective parlait clairement en défaveur d’un trouble de la personnalité émotionnellement labile type borderline. Selon elles, le trouble alcoolique est primaire, le recourant ne présente pas de grave problématique psychique en dehors de la problématique alcoolique, le trouble dépressif est apparu après la rechute et sa rémission se maintient à la faveur de l’abstinence et non d’un traitement antidépresseur. La chambre de céans rappelle toutefois que l’expert a dûment motivé les raisons pour lesquelles il retenait l’existence d’un trouble de la personnalité, lequel était responsable des décompensations thymiques majeures lors de la perte des parents et de la probable augmentation significative de la consommation alcoolique dans un but d’automédication. Le Dr M_____ a exposé que le fait d’avoir maintenu une consommation alcoolique faible pendant des années, de l’ordre de deux verres par jour, n’avait jamais constitué un handicap fonctionnel dans la vie du recourant qui avait pu conserver son emploi stable. L’hypothèse la plus probable était que la survenue de troubles affectifs majeurs était indépendante de la prise d’alcool et liée à la perte des parents et à la perte de l’emploi en ce qui concernait l’épisode actuel. A son tour, la consommation d’alcool s’était aggravée suite à l’apparition de troubles affectifs majeurs. Si l’abstinence avait eu un impact positif, elle n’avait pas pu être obtenue sans une stabilisation thymique par un traitement antidépresseur, introduit en 2012. Les conclusions de l’expert résultent d’un examen complet du dossier et ont été émises après des consiliums avec les médecins traitants. L’opinion divergente du SMR</w:t>
      </w:r>
    </w:p>
    <w:p>
      <w:r>
        <w:t>A/1466/2013 - 24/26 - n’est pas susceptible de mettre sérieusement en doute la pertinence des déductions de l’expert, dont les explications apparaissent des plus convaincantes. e. La chambre de céans fera donc siennes les conclusions du rapport d’expertise, auquel elle reconnaît une pleine valeur probante.</w:t>
      </w:r>
    </w:p>
    <w:p>
      <w:r>
        <w:rPr>
          <w:b/>
        </w:rPr>
        <w:t>E. 10</w:t>
      </w:r>
    </w:p>
    <w:p>
      <w:r>
        <w:t>Partant, il y a lieu de conclure que le recourant, dont le degré d’invalidité a été fixé à 30% en raison de ses troubles somatiques, était en outre totalement incapable de travailler pour des raisons psychiques, de novembre 2010 à décembre 2013. Le recourant a donc droit à une rente entière d'invalidité. L'incapacité totale de travail a débuté le 8 décembre 2009 en raison des atteintes somatiques et le délai de carence est arrivé à échéance le 8 décembre 2010. La demande de prestations a été déposée le 7 septembre 2010 et le délai de six mois a échu le 7 mars 2011, date à laquelle le recourant présentait, en sus de ses limitations physiques, une totale incapacité de travail en raison de son état de santé psychique. Ainsi, le droit à la rente prend naissance dès le 1er mars 2011, soit au début du mois au cours duquel le droit a pris naissance. Le recours doit être admis et la décision attaquée être annulée, au sens des considérants. La cause sera renvoyée à l’intimé pour le calcul de la rente d’invalidité.</w:t>
      </w:r>
    </w:p>
    <w:p>
      <w:r>
        <w:rPr>
          <w:b/>
        </w:rPr>
        <w:t>E. 11</w:t>
      </w:r>
    </w:p>
    <w:p>
      <w:r>
        <w:t>Il importe toutefois de rappeler que, de jurisprudence constante, le juge des assurances sociales apprécie la légalité des décisions attaquées d'après l'état de fait existant au moment où la décision litigieuse a été rendue. Les faits survenus postérieurement et ayant modifié cette situation doivent le cas échéant faire l'objet d'une nouvelle décision administrative (cf. ATF 131 V 242 consid. 2.1). En l’occurrence, la décision querellée a été rendue le 21 mars 2013, de sorte que les faits survenus postérieurement, et plus particulièrement l’amélioration de l'état de santé psychique du recourant à compter du 1er janvier 2014, n’ont pas à être pris et ne sont donc pas pris en considération par la chambre de céans (ATF 130 V 447 consid. 1.2.1 ; ATF 99 V 102 et les arrêts cités). Cette dernière ne peut exclure qu’il y ait un motif de révision de la situation du recourant à partir de janvier 2014. Mais il ne lui appartient, dans le cadre du présent recours, ni de l’affirmer ni de le nier, de même qu’il ne lui appartient pas non plus de déterminer si, le cas échéant, conjointement à une révision, l’octroi de mesures d’ordre professionnel devrait être envisagé. Elle rappelle simplement que l’expert a émis une importante réserve quant à la mise en valeur d’une capacité de travail retrouvée du recourant eu égard à l’amélioration de son état de santé psychique, puisqu’il a estimé qu’il était impossible au recourant « de pouvoir postuler de manière efficace pour un quelconque emploi dans l’économie » et qu’en l’absence d’une aide au placement octroyée par l’intimé, il ne disposait « d’aucune capacité de travail dans l’économie de marché », en plus qu’il recherchait des emplois inadaptés et n’avait pas réellement conscience de ses limitations (rapport p. 42).</w:t>
      </w:r>
    </w:p>
    <w:p>
      <w:r>
        <w:t>A/1466/2013 - 25/26 -</w:t>
      </w:r>
    </w:p>
    <w:p>
      <w:r>
        <w:rPr>
          <w:b/>
        </w:rPr>
        <w:t>E. 12</w:t>
      </w:r>
    </w:p>
    <w:p>
      <w:r>
        <w:t>Le recourant obtenant gain de cause, une indemnité de CHF 2'500.- lui sera accordée à titre de participation à ses frais et dépens (art. 61 let. g LPGA ; art. 6 du règlement sur les frais, émoluments et indemnités en procédure administrative du 30 juillet 1986 [RFPA - E 5 10.03]). Etant donné que, depuis le 1er juillet 2006, la procédure n'est plus gratuite (art. 69 al. 1bis LAI), au vu du sort du recours, il y a lieu de condamner l'intimé au paiement d'un émolument de CHF 400.-.</w:t>
      </w:r>
    </w:p>
    <w:p>
      <w:r>
        <w:t>A/1466/2013 - 26/26 -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