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ATAS/241/2024 vom 16. April 2024</w:t>
      </w:r>
    </w:p>
    <w:p>
      <w:r>
        <w:t>GE Cour de justice, 2024-04-16, FR</w:t>
      </w:r>
    </w:p>
    <w:p>
      <w:r>
        <w:rPr>
          <w:b/>
        </w:rPr>
        <w:t xml:space="preserve">Quelle: </w:t>
      </w:r>
      <w:r>
        <w:t>https://mcp.opencaselaw.ch/entscheid/ge_gerichte_ATAS_241_2024</w:t>
      </w:r>
    </w:p>
    <w:p>
      <w:r>
        <w:t>FR: GE_GERICHTE ATAS/241/2024 du 16 avril 2024</w:t>
      </w:r>
    </w:p>
    <w:p>
      <w:r>
        <w:t>IT: GE_GERICHTE ATAS/241/2024 del 16 aprile 2024</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t>A/337/2023 - 6/15 -</w:t>
      </w:r>
    </w:p>
    <w:p>
      <w:r>
        <w:rPr>
          <w:b/>
        </w:rPr>
        <w:t>E. 3</w:t>
      </w:r>
    </w:p>
    <w:p>
      <w:r>
        <w:t>Interjeté dans les forme et délai légaux – compte tenu des féries judiciaires –, le recours est recevable (art. 38 al. 4, 56 al. 1 et 60 al. 1 LPGA ; art. 43 LPCC).</w:t>
      </w:r>
    </w:p>
    <w:p>
      <w:r>
        <w:rPr>
          <w:b/>
        </w:rPr>
        <w:t>E. 4.1</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(ci-après : PCC ; art. 1 al. 1 et 2 à 36 LPCC) – et d'autre part, les familles avec enfant(s) – bénéficiaires pouvant le cas échéant prétendre au versement de PCFam (art. 1 al. 2, 36A à 36I LPCC ; ATAS/1195/2020 du 3 décembre 2020 consid. 5b ; ATAS/802/2019 du</w:t>
      </w:r>
    </w:p>
    <w:p>
      <w:r>
        <w:rPr>
          <w:b/>
        </w:rPr>
        <w:t>E. 4.2</w:t>
      </w:r>
    </w:p>
    <w:p>
      <w:r>
        <w:t>Selon l'art. 36A al. 1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En outre, aux fins de ladite loi, les personnes qui touchent des indemnités en application de la loi fédérale sur l'assurance-chômage obligatoire et l'indemnité en cas d'insolvabilité du 25 juin 1982 (loi sur l’assurance-chômage, LACI - RS 837.0) sont assimilées aux personnes exerçant une activité lucrative (art. 36A al. 5 LPCC). 5.</w:t>
      </w:r>
    </w:p>
    <w:p>
      <w:r>
        <w:t>5.1 Selon l'art. 25 al. 1 LPGA, les prestations indûment touchées doivent être restituées. La restitution ne peut être exigée lorsque l'intéressé était de bonne foi et qu'elle le mettrait dans une situation difficile.</w:t>
      </w:r>
    </w:p>
    <w:p>
      <w:r>
        <w:t>A/337/2023 - 7/15 - En vertu de l'art. 3 de l’ordonnance sur la partie générale du droit des assurances sociales du 11 septembre 2002 (OPGA - RS 830.11),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remise fait l'objet d'une décision (al. 5). En vertu de l’art. 5 al. 1 OPGA, il y a situation difficile, au sens de l’art. 25 al. 1 LPGA, lorsque les dépenses reconnues par la LPC et les dépenses supplémentaires au sens de l’al. 4 sont supérieures aux revenus déterminants selon la LPC (il est précisé que cet al. 1 est précisé par les alinéas suivants de l’art. 5 OPGA). 5.2 Le droit cantonal prévoit également le principe de la remise de l'obligation de restituer (cf. art. 24 al. 1 LPCC, art. 15 et 16 du règlement relatif aux prestations cantonales complémentaires à l'assurance-vieillesse et survivants et à l’assurance-invalidité du 25 juin 1999 [RPCC-AVS/AI - J 4 25.03]). 5.3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5.4 À teneur de l’art. 11 al. 1 LPCC, le bénéficiaire ou son représentant légal doit déclarer au service tout fait nouveau de nature à entraîner la modification du montant des prestations qui lui sont allouées ou leur suppression. 5.5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w:t>
      </w:r>
    </w:p>
    <w:p>
      <w:r>
        <w:t>A/337/2023 - 8/15 -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du 25 avril 2019 consid. 4 et 9C_14/2007 du 2 mai 2007 consid. 4 ; DTA 2003 n° 29 p. 260 consid. 1.2 et les références ; RSAS 1999 p. 384 ; Ueli KIESER, Kommentar zum Bundesgesetz über den Allgemeinen Teil des Sozialversicherungsrechts - ATSG, 2020, n. 65 ad art. 25 LPGA). 6. Dans le domaine des assurances sociales notamment, la procédure est régie par le principe inquisitoire, selon lequel les faits pertinents de la cause doivent être constatés d'office par le juge. Mais ce principe n'est pas absolu. Sa portée est</w:t>
      </w:r>
    </w:p>
    <w:p>
      <w:r>
        <w:t>A/337/2023 - 9/15 -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7.</w:t>
      </w:r>
    </w:p>
    <w:p>
      <w:r>
        <w:t>7.1 En l’espèce, force est de constater, tout d’abord que la recourante a été dûment informée, à plusieurs reprises depuis l’octroi des PCFam à fin 2020, de son obligation de communiquer immédiatement tout changement survenant dans sa situation personnelle ou économique, obligation énoncée expressément à l'art. 24 de l'ordonnance sur les prestations complémentaires à l’assurance-vieillesse, survivants et invalidité du 15 janvier 1971 (OPC-AVS/AI - RS 831.301) – auquel renvoie l’art. 2 du règlement relatif aux prestations complémentaires familiales du 27 juin 2012 (RPCFam - J 4 25.04) –, en vertu duquel l’ayant droit ou son représentant légal ou, le cas échéant, le tiers ou l’autorité à qui la PC est versée, doit communiquer sans retard à l’organe cantonal compétent tout changement dans la situation personnelle et toute modification sensible dans la situation matérielle du bénéficiaire de la prestation, cette obligation de renseigner valant aussi pour les modifications concernant les membres de la famille de l’ayant droit. En particulier, la « liste des pièces justificatives à joindre à la demande de [PCFam] » signée par l’assurée, en complément à la demande reçue le 29 juillet 2020 par le SPC, mentionnait entre autres, sous « revenus », les « décision-s et relevés d’indemnités de chômage, d’occupation temporaire, PCM, RMCAS de tous les membres du groupe familial pour les 6 derniers mois ». À cet égard, l’intéressée a remis au service ses décomptes d’indemnités journalières de janvier à juin 2020. Du reste, par courrier du 7 décembre 2020 faisant suite à une demande de pièces du SPC du 30 novembre 2020 relative aux allocations de l'office cantonal du logement et de la planification foncière, l'intéressée a notamment écrit : « En tant que bénéficiaire de bonne foi, je sais que je dois faire le nécessaire afin de transmettre (à vous et à l'Office du logement) tous les</w:t>
      </w:r>
    </w:p>
    <w:p>
      <w:r>
        <w:t>A/337/2023 - 10/15 - documents et cela dans le délai prévu ». Ensuite, dans le courrier de l’intimé du 1er décembre 2020 intitulé « [PCFam] pour l’année 2021 » était rappelée l’« obligation de renseigner » au sujet de toute modification de la situation financière et/ou personnelle, « sans délai » et avec les justificatifs, « afin que les éventuelles adaptations puissent être faites sans délai », ce notamment en cas d’ « augmentation ou réduction des revenus et/ou des rentes et/ou de la fortune mobilière et/ou immobilière en Suisse et à l’étranger », avec ensuite la précision « En cas d’omission ou de retard dans la transmission d’informations susceptibles de modifier votre droit aux prestations, vous vous exposez à une demande de restitution des prestations versées indûment, voire à des poursuites pénales ». Par un pli du SPC du même 1er décembre 2020 portant sur la période dès le 1er janvier 2021, la recourante était invitée à contrôler attentivement les montants indiqués sur le plan de calcul joint, pour s’assurer qu’ils correspondaient bien à sa situation actuelle, étant précisé ici que ces plans de calcul mentionnaient les « indemnités de chômage » (à hauteur de CHF 9'717.-) dans le « revenu déterminant ». Ainsi, à tout le moins depuis la réception de la décision d’octroi de PCFam du 28 octobre 2020, l’intéressée devait être consciente que la perception d’indemnités de chômage constituait un élément important pris en compte par le service pour le calcul de ses PCFam. 7.2 Selon le recours, l’assurée, lors des derniers mois durant lesquels elle recevait des indemnités de chômage en complément et en fonction de son salaire pour son activité de maîtresse d’études et de surveillante, n’a perçu en trois mois que CHF 300.- de telles indemnités, étant précisé que les décomptes de la caisse de chômage au dossier montrent des indemnités de CHF 448.50 pour 5,2 jours de droit en janvier 2021 et une absence de jours y donnant droit en février et mars 2021. Toujours d’après les allégations de la recourante, celle-ci, effectuant passablement d’heures supplémentaires pour l’école privée en février et mars 2021, s’est focalisée sur son emploi afin de satisfaire son employeur et tenter d’augmenter son taux d’activité. L’intéressée fait ainsi valoir qu’au moment de la fin du droit aux indemnités de chômage, sa situation financière n’a aucunement changé du fait que son salaire était sa ressource principale complétée par les PCFam. Selon elle, ce changement n’était pas conséquent pour elle en raison des indemnités de chômage peu élevées voire inexistantes en fonction des mois. Elle ne pouvait alors pas penser que l’annulation de son dossier auprès de l’assurance-chômage pouvait porter préjudice à son droit aux PCFam. La recourante précise par ailleurs que, malgré les attestations de l’employeur, elle a bien respecté la condition légale du taux d’activité minimal de 40% durant l’année 2021. Elle ne pouvait pas imaginer que le SPC n’allait pas retenir cette condition et ce malgré la présentation de pièces et divers courriers par elle.</w:t>
      </w:r>
    </w:p>
    <w:p>
      <w:r>
        <w:t>A/337/2023 - 11/15 - 7.3 Ces allégations et arguments ne permettent pas de s’écarter du fait qu’il n’a pas pu échapper à la recourante qu’elle devait annoncer spontanément à l’intimé la fin de son droit aux indemnités de chômage avec effet au 1er avril 2021, ces indemnités constituant un élément important pris en compte par le service pour le calcul de ses PCFam. 7.4 À cet égard, comme exposé dans la décision sur opposition rendue le 18 mars 2022 par l’intimé concernant la question de la restitution, à la suite de la demande de prestations reçue le 29 juillet 2020 et conformément aux règles légales et réglementaires, il avait été tenu compte, pour la détermination du droit de la recourante à des PCFam, d’un taux d’activité de 60% en lien avec son précédent emploi de vendeuse à temps partiel auprès de B______ dont le salaire mensuel – brut – de CHF 2'340.- stipulé dans le contrat de travail y relatif avait été retenu comme salaire assuré par la caisse de chômage pour établir ses indemnités de chômage. Il ressort effectivement des décomptes de cette caisse un gain assuré de CHF 2'340.- (pour 21,7 jours de travail moyens), couvert à 80% par les indemnités de chômage sous déduction notamment du gain intermédiaire brut, plus précisément ici les rémunérations versées par l’école privée. À teneur de l’« attestation de travail » émise le 16 septembre 2020 par l’école privée et portant sur la période du 1er septembre 2020 au 30 juin 2021 (année scolaire), avec mention d’un taux d’activité de 35%, les études et les surveillances de midi, quatre fois par semaine chacune, étaient rémunérées mensuellement CHF 800.-, soit CHF 1'600.- par mois au total, toutes les autres prestations étant payées à la pièce. Il importe peu que le taux d’activité auprès de l’école privée ait été augmenté ponctuellement au-delà de 40% suivant les mois, durant la période considérée (à partir du 1er avril 2021), voire qu’il ait atteint 40% pour la période du 1er septembre 2021 au 30 juin 2022 (année scolaire) selon une « attestation de travail » émise le 9 février 2022 par l’école privée. En effet, le taux d'activité minimal exigé – ici 40% pour le groupe familial qui comprend une personne adulte (art. 36A al. 4 let. a LPCC) – s'entend par année. Ainsi, en cas de contrat de travail à durée déterminée, l'annualisation de la durée du contrat permet de déterminer si la condition du taux d'activité minimal est remplie sur l'année (exemple : un contrat à durée déterminée de six mois à plein temps ouvre un droit aux PCFam, pour une famille monoparentale, car il correspond à un taux d'activité annuel de 50%).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d'État</w:t>
      </w:r>
    </w:p>
    <w:p>
      <w:r>
        <w:t>A/337/2023 - 12/15 - précise que le taux d'activité se fonde sur une semaine de 40 heures de travail (PL 10600 précité, MGC 2009-2010 III A 2848, cité par l’ATAS/782/2023 du</w:t>
      </w:r>
    </w:p>
    <w:p>
      <w:r>
        <w:rPr>
          <w:b/>
        </w:rPr>
        <w:t>E. 9</w:t>
      </w:r>
    </w:p>
    <w:p>
      <w:r>
        <w:t>La recourante, qui obtient en partie gain de cause pour une période limitée, est représentée par un avocat, de sorte qu’une indemnité – réduite – de CHF 1’000.- lui sera accordée à titre de participation à ses frais et dépens (art. 61 let. g LPGA ; art. 6 du règlement sur les frais, émoluments et indemnités en matière administrative du 30 juillet 1986 [RFPA - E 5 10.03]). La procédure est gratuite (art. 89H al. 1 de la loi sur la procédure administrative du 12 septembre 1985 [LPA - E 5 10] et vu l'art. 61 let. fbis LPGA).</w:t>
      </w:r>
    </w:p>
    <w:p>
      <w:r>
        <w:t>A/337/2023 - 15/15 -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