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ATAS/241/2022 vom 17. März 2022</w:t>
      </w:r>
    </w:p>
    <w:p>
      <w:r>
        <w:t>GE Cour de justice, 2022-03-17, FR</w:t>
      </w:r>
    </w:p>
    <w:p>
      <w:r>
        <w:rPr>
          <w:b/>
        </w:rPr>
        <w:t xml:space="preserve">Quelle: </w:t>
      </w:r>
      <w:r>
        <w:t>https://mcp.opencaselaw.ch/entscheid/ge_gerichte_ATAS_241_2022</w:t>
      </w:r>
    </w:p>
    <w:p>
      <w:r>
        <w:t>FR: GE_GERICHTE ATAS/241/2022 du 17 mars 2022</w:t>
      </w:r>
    </w:p>
    <w:p>
      <w:r>
        <w:t>IT: GE_GERICHTE ATAS/241/2022 del 17 marzo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sa fondation jusqu’au moment de sa faillite, la chambre de céans est compétente ratione loci, quand bien même l’administratrice est domiciliée à Lausanne.</w:t>
      </w:r>
    </w:p>
    <w:p>
      <w:r>
        <w:rPr>
          <w:b/>
        </w:rPr>
        <w:t>E. 3</w:t>
      </w:r>
    </w:p>
    <w:p>
      <w:r>
        <w:t>À teneur de l’art. 1 al. 1 LAVS, les dispositions de la LPGA s’appliquent aux art. 1 à 97 LAVS,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t>A/2419/2020 - 5/12 -</w:t>
      </w:r>
    </w:p>
    <w:p>
      <w:r>
        <w:rPr>
          <w:b/>
        </w:rPr>
        <w:t>E. 5</w:t>
      </w:r>
    </w:p>
    <w:p>
      <w:r>
        <w:t>L'objet du litige porte sur la responsabilité de l’administratrice pour le dommage subi par les intimées du fait du défaut de paiement des cotisations sociales par la société.</w:t>
      </w:r>
    </w:p>
    <w:p>
      <w:r>
        <w:rPr>
          <w:b/>
        </w:rPr>
        <w:t>E. 6.1</w:t>
      </w:r>
    </w:p>
    <w:p>
      <w:r>
        <w:t>À titre liminaire, il convient d’examiner si la prétention des intimées est prescrite, comme l’allègue la recourante.</w:t>
      </w:r>
    </w:p>
    <w:p>
      <w:r>
        <w:rPr>
          <w:b/>
        </w:rPr>
        <w:t>E. 6.2</w:t>
      </w:r>
    </w:p>
    <w:p>
      <w:r>
        <w:t>Le 1er janvier 2020 est entrée en vigueur la révision du droit de la prescription de la loi fédérale du 30 mars 1911, complétant le Code civil suisse (CO, Code des obligations - RS 220), entraînant la modification de l’art. 52 al. 3 LAVS avec pour résultat un allongement du délai de prescription relative de deux à trois ans et celui de prescription absolue de cinq à dix ans.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6.3</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les délais ne sont plus sauvegardés une fois pour toutes avec les décisions relatives aux dommages-intérêts ; le droit à la réparation du dommage au sens de l'art. 52 al. 1 LAVS peut donc aussi se prescrire durant la procédure d'opposition ou la procédure de recours qui s'ensuit (ATF 135 V 74 consid. 4.2).</w:t>
      </w:r>
    </w:p>
    <w:p>
      <w:r>
        <w:rPr>
          <w:b/>
        </w:rPr>
        <w:t>E. 6.4</w:t>
      </w:r>
    </w:p>
    <w:p>
      <w:r>
        <w:t>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w:t>
      </w:r>
    </w:p>
    <w:p>
      <w:r>
        <w:t>A/2419/2020 - 6/12 -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6.5</w:t>
      </w:r>
    </w:p>
    <w:p>
      <w:r>
        <w:t>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7</w:t>
      </w:r>
    </w:p>
    <w:p>
      <w:r>
        <w:t>En l’espèce, la faillite de la société a été prononcée définitivement en date du 18 mars 2019. Les intimées ont produit leurs créances et l’état de collocation a été déposé, en date du 22 octobre 2019, avec l’indication d’un dividende de 0 % pour les créances de 2ème classe. La recourante prétend que le moment de la connaissance du dommage devrait être fixé au jour du premier prononcé de la faillite, soit le 13 juillet 2017, alors même que la faillite a été révoquée en date du 24 octobre 2017. Ce raisonnement ne saurait être suivi. En effet, le prononcé de la faillite en date du 13 juillet 2017 ne saurait être assimilé à la réalisation du dommage dès lors que ladite faillite a été révoquée en date du 24 octobre 2017 et que les cotisations sociales réclamées sont postérieures, datant respectivement des mois de décembre 2018, janvier 2019 et février 2019. Le jugement du TPI du 12 mars 2018 (JTPI/4186/2018) faisant suite à l’avis de surendettement formé le 10 juillet 2017 par Société fiduciaire d'Expertise et de Révision SA (ci-après : SFER SA), en sa qualité d'organe de révision statutaire de B______, fait au contraire apparaître « qu'en l'espèce, il ressort des comptes arrêtés au 31 décembre 2017 que B______SA n'est pas (plus) en situation de surendettement, réalisant par ailleurs un bénéfice de CHF 165'322.88 à cette même date. Que les conditions d'application de l'art. 729 c CO n'étant pas réunies, la faillite de B______SA ne sera pas prononcée (…) celle-ci ayant rétabli la situation ensuite des mesures d'assainissement prises notamment par ses deux actionnaires ». Compte tenu de ce qui précède, le raisonnement de la recourante ne saurait être suivi, ce d’autant moins qu’en vertu des mesures d’assainissement prises par les actionnaires et du jugement rendu le 12 mars 2018, les intimées pouvaient être rassurées sur le sort de leurs créances, de sorte qu’aucun élément ne permet d’admettre que le moment de la connaissance du dommage devrait être fixé au jour du premier prononcé de faillite, soit en juillet 2017.</w:t>
      </w:r>
    </w:p>
    <w:p>
      <w:r>
        <w:t>A/2419/2020 - 7/12 - Ce n’est qu’à la suite de l'avis de surendettement formé le 4 mars 2019 par la société que la faillite a été prononcée définitivement, par le TPI, en date du 18 mars 2019 (JTPI/3928/2019). Dès lors, il convient de se fonder, conformément à la jurisprudence du Tribunal fédéral, sur le moment du prononcé de la faillite pour fixer le dies a quo de la survenance du dommage et le moment du dépôt de l’état de collocation, soit le 22 octobre 2019, pour fixer le dies a quo de la connaissance du dommage. Les décisions de réparation du dommage rendues par les intimées datent toutes deux du 25 novembre 2019 ; dès lors, ni le délai relatif de deux ans ni le délai absolu de cinq ans ne sont échus. Étant précisé que même en retenant comme dies a quo le jour du prononcé de la faillite (survenance du dommage), soit le 18 mars 2019, la prescription absolue n’est pas non plus échue.</w:t>
      </w:r>
    </w:p>
    <w:p>
      <w:r>
        <w:rPr>
          <w:b/>
        </w:rPr>
        <w:t>E. 8</w:t>
      </w:r>
    </w:p>
    <w:p>
      <w:r>
        <w:t>L’art. 14 al. 1 LAVS, en corrélation avec les art. 34 ss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w:t>
      </w:r>
    </w:p>
    <w:p>
      <w:r>
        <w:rPr>
          <w:b/>
        </w:rPr>
        <w:t>E. 9.1</w:t>
      </w:r>
    </w:p>
    <w:p>
      <w:r>
        <w:t>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w:t>
      </w:r>
    </w:p>
    <w:p>
      <w:r>
        <w:rPr>
          <w:b/>
        </w:rPr>
        <w:t>E. 9.2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9.3</w:t>
      </w:r>
    </w:p>
    <w:p>
      <w:r>
        <w:t>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w:t>
      </w:r>
    </w:p>
    <w:p>
      <w:r>
        <w:t>A/2419/2020 - 8/12 -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10</w:t>
      </w:r>
    </w:p>
    <w:p>
      <w:r>
        <w:t>En l’occurrence, à teneur de l’extrait du RC, la recourante avait la qualité d’organe formel de la société, soit administratrice, depuis l’année 2013 jusqu’au prononcé de la faillite. Compte tenu de ce qui précède, la recourante répond, à titre subsidiaire, du dommage causé par l’omission de la société de payer les cotisations sociales.</w:t>
      </w:r>
    </w:p>
    <w:p>
      <w:r>
        <w:rPr>
          <w:b/>
        </w:rPr>
        <w:t>E. 11</w:t>
      </w:r>
    </w:p>
    <w:p>
      <w:r>
        <w:t>Reste à examiner si les autres conditions de la responsabilité de l’art. 52 al. 1 LAVS sont réalisées.</w:t>
      </w:r>
    </w:p>
    <w:p>
      <w:r>
        <w:rPr>
          <w:b/>
        </w:rPr>
        <w:t>E. 11.1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w:t>
      </w:r>
    </w:p>
    <w:p>
      <w:r>
        <w:t>A/2419/2020 - 9/12 -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rPr>
          <w:b/>
        </w:rPr>
        <w:t>E. 11.2</w:t>
      </w:r>
    </w:p>
    <w:p>
      <w:r>
        <w:t>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w:t>
      </w:r>
    </w:p>
    <w:p>
      <w:r>
        <w:rPr>
          <w:b/>
        </w:rPr>
        <w:t>E. 11.3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w:t>
      </w:r>
    </w:p>
    <w:p>
      <w:r>
        <w:t>A/2419/2020 - 10/12 - facteurs qui ont contribué à l’amener, en particulier le comportement de l’auteur (arrêt du Tribunal fédéral des assurances H 95/05 du 10 janvier 2007 consid. 4).</w:t>
      </w:r>
    </w:p>
    <w:p>
      <w:r>
        <w:rPr>
          <w:b/>
        </w:rPr>
        <w:t>E. 12</w:t>
      </w:r>
    </w:p>
    <w:p>
      <w:r>
        <w:t>En l’espèce, la recourante prétend ne pas être responsable du dommage en raison du fait qu’elle ne s’occupait pas du paiement des salaires des employés et ignorait la situation financière difficile de la société. Or, ce cas est précisément celui qui est visé par la jurisprudence du Tribunal fédéral (homme de paille), qui considère que commet également une faute grave celui qui ne démissionne pas de ses fonctions alors qu’il se trouvait, en raison de l’attitude de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Cette description vise la situation de la recourante, comme cela a été confirmé en audience de comparution personnelle le 3 février 2022, lors de laquelle la recourante a déclaré être payée à raison de CHF 4'800.- par an, uniquement pour apparaitre en qualité d’administratrice, ses tâches consistant, notamment, à signer les bilans. Cette négligence est d’autant plus grave qu’avec sa formation de comptable et au vu de l’expérience invoquée dans des « fiduciaires internationales », la recourante était à même de lire et de comprendre un bilan et d’en tirer les conséquences financières, notamment de s’apercevoir d’un surendettement et d’amener les associés à intervenir, en injectant des fonds dans la société. Elle pouvait aussi choisir de démissionner, si elle estimait ne pas obtenir les informations ou les moyens nécessaires à l’exercice de son mandat, ce qu’elle n’a pas fait. Les prétendues garanties données par MM. D______ et C______ quant à l’avenir de la société ne reposaient sur aucun élément objectif, de telle sorte que la recourante avait les moyens de réaliser que la situation financière de la société était définitivement obérée. La recourante invoque dans ses mémoires de recours que, compte tenu du fait que c’étaient MM. D______ et C______ qui s’occupaient des paiements des salaires, elle-même ne devrait répondre du dommage « qu’en dernière ligne ». C’est méconnaître le principe même posé par l’art. 52 al. 2 LAVS deuxième phrase, à savoir que les personnes responsables du dommage répondent « solidairement de la totalité du dommage ». À l’aune de ce qui précède, il y a lieu de retenir que la négligence de la recourante, seule administratrice, entraîne sa responsabilité solidaire. Étant encore précisé que les intimées ont également notifié des décisions en réparation du dommage à l’encontre de MM. D______ et C______, considérés comme administrateurs de fait.</w:t>
      </w:r>
    </w:p>
    <w:p>
      <w:r>
        <w:rPr>
          <w:b/>
        </w:rPr>
        <w:t>E. 13</w:t>
      </w:r>
    </w:p>
    <w:p>
      <w:r>
        <w:t>Enfin, il sied de fixer le montant du dommage.</w:t>
      </w:r>
    </w:p>
    <w:p>
      <w:r>
        <w:t>A/2419/2020 - 11/12 - Le dommage selon l’art. 52 LAVS comprend les cotisations impayées dues selon la LAVS, la loi fédérale sur l’assurance-invalidité du 19 juin 1959 (LAI - RS 831.20 ; art. 66 LAI), la loi fédérale sur les allocations pour perte de gain en cas de service et de maternité du 25 septembre 1952 (LAPG - RS 834.1 ; art. 21 al. 2 LAPG), la loi fédérale sur les allocations familiales dans l’agriculture du 20 juin 1952 (LFA - RS 836.1 ; art. 25 al. LFA), la loi fédérale sur les allocations familiales du 24 mars 2006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Les éventuelles amendes prononcées par la caisse de compensation ne font pas partie du dommage et doivent le cas échéant être déduites (arrêt du Tribunal fédéral des assurances H 142/03 du 19 août 2003 consid. 5.5).</w:t>
      </w:r>
    </w:p>
    <w:p>
      <w:r>
        <w:rPr>
          <w:b/>
        </w:rPr>
        <w:t>E. 14</w:t>
      </w:r>
    </w:p>
    <w:p>
      <w:r>
        <w:t>En l’espèce, le montant du dommage subi par la CAFINCO comprend le montant de CHF 111.55, soit les cotisations pour les allocations familiales pour les mois de décembre 2018, janvier et février 2019. Ce montant est exact et la décision de la CAFINCO sera donc confirmée. En ce qui concerne la caisse SSE, il y a lieu de rectifier le montant du dommage, celui allégué en premier lieu – soit CHF 63'229.60 – étant supérieur au dommage subi, en ajoutant les intérêts et les frais admis soit, selon décompte actualisé joint au courrier du 11 février 2022 : les cotisations sociales par CHF 55'748.40, les intérêts par CHF 716.60 et les frais par CHF 14.60, le tout ascendant à CHF 56'479.60.</w:t>
      </w:r>
    </w:p>
    <w:p>
      <w:r>
        <w:rPr>
          <w:b/>
        </w:rPr>
        <w:t>E. 15</w:t>
      </w:r>
    </w:p>
    <w:p>
      <w:r>
        <w:t>Eu égard à ce qui précède, le recours est très partiellement admis et le montant du dommage réclamé par la Caisse SSE sera réduit à CHF 56'479.60.</w:t>
      </w:r>
    </w:p>
    <w:p>
      <w:r>
        <w:rPr>
          <w:b/>
        </w:rPr>
        <w:t>E. 16</w:t>
      </w:r>
    </w:p>
    <w:p>
      <w:r>
        <w:t>La recourante obtenant très partiellement gain de cause sur un point qu’elle n’a, de surcroit, pas invoqué, il ne se justifie pas de lui octroyer des dépens (art. 61 let. g LPGA et art. 6 du règlement sur les frais, émoluments et indemnités en matière administrative du 30 juillet 1986 [RFPA - E 5 10.03]).</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