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ATAS/241/2021 vom 7. Mai 2020</w:t>
      </w:r>
    </w:p>
    <w:p>
      <w:r>
        <w:t>GE Cour de justice, 2020-05-07, FR</w:t>
      </w:r>
    </w:p>
    <w:p>
      <w:r>
        <w:rPr>
          <w:b/>
        </w:rPr>
        <w:t xml:space="preserve">Quelle: </w:t>
      </w:r>
      <w:r>
        <w:t>https://mcp.opencaselaw.ch/entscheid/ge_gerichte_ATAS_241_2021</w:t>
      </w:r>
    </w:p>
    <w:p>
      <w:r>
        <w:t>FR: GE_GERICHTE ATAS/241/2021 du 7 mai 2020</w:t>
      </w:r>
    </w:p>
    <w:p>
      <w:r>
        <w:t>IT: GE_GERICHTE ATAS/241/2021 del 7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qu'il n'y soit expressément dérogé (art. 1 al. 1 LPC). Il en va de même en matière de prestations complémentaires cantonales (art. 1A let. b LPCC).</w:t>
      </w:r>
    </w:p>
    <w:p>
      <w:r>
        <w:rPr>
          <w:b/>
        </w:rPr>
        <w:t>E. 3</w:t>
      </w:r>
    </w:p>
    <w:p>
      <w:r>
        <w:t>A teneur de l'art. 89I al. 2 et 3 de la loi sur la procédure administrative du 12 septembre 1985 (LPA - E 5 10), l'art. 61 let. i LPGA est applicable pour les causes visées à l'art. 134 al. 1 LOJ (au nombre desquelles les contestations en matière de prestations complémentaires fédérales) et l'art. 80 LPA pour les causes visées à l'art. 134 al. 3 LOJ (au nombre desquelles les contestations prévues à l'art. 43 LPCC).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notamment que des faits ou des moyens de preuve nouveaux et importants existent, que le recourant ne pouvait connaître ou invoquer dans la procédure précédente, ou encore que, par inadvertance, la décision ne tient pas compte de faits invoqués et établis par pièce.</w:t>
      </w:r>
    </w:p>
    <w:p>
      <w:r>
        <w:rPr>
          <w:b/>
        </w:rPr>
        <w:t>E. 4</w:t>
      </w:r>
    </w:p>
    <w:p>
      <w:r>
        <w:t>La demande de révision doit être adressée par écrit à la juridiction qui a rendu la décision dans les trois mois dès la découverte du motif de révision (art. 81 al. 1 LPA).</w:t>
      </w:r>
    </w:p>
    <w:p>
      <w:r>
        <w:t>A/1410/2019 - 10/17 -</w:t>
      </w:r>
    </w:p>
    <w:p>
      <w:r>
        <w:rPr>
          <w:b/>
        </w:rPr>
        <w:t>E. 5</w:t>
      </w:r>
    </w:p>
    <w:p>
      <w:r>
        <w:t>Lorsque le tribunal estime que le motif de révision est établi, il doit annuler totalement ou partiellement l'arrêt rendu et statuer à nouveau au fond (cf. BOVAY, Procédure administrative, éd. Staempfli, p. 441).</w:t>
      </w:r>
    </w:p>
    <w:p>
      <w:r>
        <w:rPr>
          <w:b/>
        </w:rPr>
        <w:t>E. 6</w:t>
      </w:r>
    </w:p>
    <w:p>
      <w:r>
        <w:t>Dans le cas d'espèce, il s’est avéré que le témoin entendu par la Cour de céans s’était bel et bien exécuté et avait envoyé les justificatifs réclamés à l’appui de ses dires, mais que ceux-ci, réceptionnés par le greffe de la Cour de céans, ont été malencontreusement classés dans une autre procédure, de sorte qu’ils ne sont venus à la connaissance de la Cour de céans qu’après que celle-ci a statué. Se pose la question de savoir si l’arrêt du 7 mai 2020 (ATAS/332/2020) doit être révisé au vu des dits documents.</w:t>
      </w:r>
    </w:p>
    <w:p>
      <w:r>
        <w:rPr>
          <w:b/>
        </w:rPr>
        <w:t>E. 7</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p. 248 s.). La révision suppose ainsi la réalisation de cinq conditions: 1° le requérant invoque un ou des faits; 2° ce ou ces faits sont "pertinents", dans le sens d'importants ("erhebliche"), c'est-à- 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(ATF 134 IV 48 consid. 1.2; arrêts 4F_3/2007 du 27 juin 2007 précité, ibidem; 5A_382/2014 du 9 octobre 2014 consid. 4.1). Les faits postérieurs qui se sont produits postérieurement à ce moment (les vrais faits nouveaux ou vrais nova; echte Noven) sont expressément exclus (art. 328 al. 1 let. a in fine CPC) ;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(ATF 143 III 272 consid. 2.2 p. 275 s. et les références).</w:t>
      </w:r>
    </w:p>
    <w:p>
      <w:r>
        <w:t>A/1410/2019 - 11/17 -</w:t>
      </w:r>
    </w:p>
    <w:p>
      <w:r>
        <w:rPr>
          <w:b/>
        </w:rPr>
        <w:t>E. 8</w:t>
      </w:r>
    </w:p>
    <w:p>
      <w:r>
        <w:t>Quant aux preuves concluantes,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(ATF 143 III 272 consid. 2.2 p. 276).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w:t>
      </w:r>
    </w:p>
    <w:p>
      <w:r>
        <w:rPr>
          <w:b/>
        </w:rPr>
        <w:t>E. 9</w:t>
      </w:r>
    </w:p>
    <w:p>
      <w:r>
        <w:t>L'inadvertance, soit l'omission de tenir compte de faits importants qui ressortent des pièces du dossier, suppose que le tribunal a omis de prendre en considération une pièce déterminée, versée au dossier, ou l'a mal lue, s'écartant par mégarde de sa teneur exacte, en particulier de son vrai sens littéral (ATF 115 II 399 consid. 2a p. 399 s.). Le tribunal commet une inadvertance s'il ignore ou déforme involontairement une constatation de fait qui le lie ou s'il transcrit incomplètement une pièce du dossier et se met en contradiction avec celle-ci. En revanche, il n'y a pas inadvertance s'il apprécie mal une preuve administrée devant lui, ou si ayant vu correctement une pièce au dossier, il en tire une déduction de fait erronée, ainsi que dans le cas d'une fausse appréciation de la portée juridique des faits établis (ATF 127 V 353 consid. 5b p. 358; 122 II 17 consid. 3 p. 18 s.). De même il n'y a pas inadvertance dans l'hypothèse inverse, soit lorsque le tribunal a tenu compte par mégarde d'un fait non établi ou d'une pièce versée irrégulièrement au dossier (PIERRE FERRARI, Commentaire de la LTF, 2 e éd. 2014, n. 17 ss ad art. 121 LTF). Par ailleurs, le motif de révision n'est réalisé que si les faits en cause sont pertinents, c'est-à-dire susceptibles de conduire à une solution différente de celle qui a été retenue, plus favorable au requérant (cf. ATF 122 II 17 consid. 3 précité; arrêt 5F_3/2015 du 13 août 2015 consid. 4.2).</w:t>
      </w:r>
    </w:p>
    <w:p>
      <w:r>
        <w:rPr>
          <w:b/>
        </w:rPr>
        <w:t>E. 10</w:t>
      </w:r>
    </w:p>
    <w:p>
      <w:r>
        <w:t>En l’espèce, le cas est un peu particulier en ce sens que la production de la preuve réclamée par la Cour de céans ne dépendait pas des recourants, mais d’un tiers, entendu à titre de témoin au cours de la procédure et qu’ils n’avaient dès lors</w:t>
      </w:r>
    </w:p>
    <w:p>
      <w:r>
        <w:t>A/1410/2019 - 12/17 - aucune influence sur sa transmission à la Cour. Pour le surplus, c’est cette dernière qui a découvert a posteriori que les pièces lui avaient bel et bien été adressées mais mal classées. Ces preuves, sous la forme de justificatifs démontrant le paiement d’un loyer pour le bien immobilier sis en France et appartenant à la mère des recourants, ont bel et bien été produites, mais non versées immédiatement à la procédure pour des raisons indépendantes de la volonté des parties. Ces preuves doivent être qualifiées de concluantes, puisqu’elles portent sur des faits antérieurs aux décisions litigieuses, sont propres à entraîner une modification du jugement dans un sens favorable aux recourants, qu’elles existaient déjà lorsque le jugement a été rendu, qu’elles ont été re-découvertes après coup et qu’aucune faute n’est imputable aux parties en l’occurrence. On peut également considérer qu’en l’occurrence, une inadvertance peut être reprochée à la Cour de céans, dans le greffe de laquelle les pièces transmises se sont égarées, ce qui a eu pour conséquence qu’elle a omis de tenir compte de faits importants dans son arrêt. Ces éléments ont été découverts le 25 juin, soit un peu plus d’un mois après que la Cour a statué. Les conditions d’une révision sont donc réunies.</w:t>
      </w:r>
    </w:p>
    <w:p>
      <w:r>
        <w:rPr>
          <w:b/>
        </w:rPr>
        <w:t>E. 11</w:t>
      </w:r>
    </w:p>
    <w:p>
      <w:r>
        <w:t>Reste à tirer les conséquences des faits établis par les pièces en question quant à l’existence ou non d’un domicile et d’une résidence habituelle des recourants à Genève durant la période litigieuse, étant rappelé que le litige portait sur le droit des recourants à des prestations complémentaires dès le 1er septembre 2019.</w:t>
      </w:r>
    </w:p>
    <w:p>
      <w:r>
        <w:rPr>
          <w:b/>
        </w:rPr>
        <w:t>E. 12</w:t>
      </w:r>
    </w:p>
    <w:p>
      <w:r>
        <w:t>a. D'après l'art. 4 al. 1 LPC, les personnes qui ont leur domicile et leur résidence habituelle en Suisse ont droit à des prestations complémentaires dès lors que, notamment, elles ont droit à certaines prestations d'assurances sociales, dont - comme en l'espèce - une rente de l'AVS (art. 4 al. 1 let. b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l'AVS (art. 2 al. 1 let. a LPCC). Le droit aux prestation complémentaires fédérales et cantonales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w:t>
      </w:r>
    </w:p>
    <w:p>
      <w:r>
        <w:t>A/1410/2019 - 13/17 -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c.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w:t>
      </w:r>
    </w:p>
    <w:p>
      <w:r>
        <w:t>A/1410/2019 - 14/17 - d.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habituelle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(ATF 111 V 180 consid. 4 p. 182 ; arrêt du Tribunal fédéral 9C_696/2009 du 15 mars 2010 consid. 3.3 ; arrêt du Tribunal fédéral des assurances H 71/89 du 14 mai 1990 consid. 2a, in RCC 1992 p. 36). Le Tribunal fédéral a cependant jugé que des exceptions au principe de la résidence en Suisse ne pouvaient entrer en considération que lorsque l'intéressé avait envisagé dès le début un départ temporaire et non pas définitif de Suisse (ATF 111 V 180 consid. 4c ; Michel VALTERIO, op. cit., n° 27 ad art. 4). e. Selon l'art. 1 al. 1 du règlement relatif aux prestations cantonales complémentaires à l'assurance-vieillesse et survivants et à l'assurance-invalidité du 25 juin 1999 (RPCC-AVS/AI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juridiction de céans a cependant jugé (ATAS/1235/2013 du 12 décembre 2013 consid. 5c) que cette disposition réglementaire outrepassait le cadre fixé par l'art. 2 al. 1 let. a LPCC, en définissant la notion de résidence de façon plus restrictive que celle qui résultait de l'interprétation de la loi, de sorte qu’elle ne devait pas être appliquée.</w:t>
      </w:r>
    </w:p>
    <w:p>
      <w:r>
        <w:rPr>
          <w:b/>
        </w:rPr>
        <w:t>E. 13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w:t>
      </w:r>
    </w:p>
    <w:p>
      <w:r>
        <w:t>A/1410/2019 - 15/17 -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14</w:t>
      </w:r>
    </w:p>
    <w:p>
      <w:r>
        <w:t>Comme l’a déjà noté la Cour de céans dans les considérants de son arrêt précédent, les déclarations de la mère des requérants ont varié au fil du temps. L’instruction a toutefois permis d’établir qu’elle et ses enfants ont résidé dans un appartement sis aux X______ jusqu’en juillet 2018, qu’en juin 2018, elle a loué un studio sis rue G______, qu’ils n’ont jamais occupé car il était trop petit, mais qu’ils ont gardé par mesure de précaution, en le sous-louant, le temps de trouver un logement stable. D’août à décembre 2018, ils ont vécu dans un appartement à Veyrier, avant de déménager deux mois à Chêne-Bougeries chez l’ex-mari de l’intéressée, puis de retrouver un logement sûr à Veyrier en février 2019. Certes, la situation du logement familial a été pour le moins compliquée et la situation rendue encore plus confuse par le manque de maîtrise de la langue de la mère de l’intéressée. Les divers éléments au dossier permettent toutefois de confirmer la chronologie telle que résumée supra.</w:t>
      </w:r>
    </w:p>
    <w:p>
      <w:r>
        <w:t>A/1410/2019 - 16/17 - Quant aux nouveaux documents versés à la procédure, ils confirment quant à eux les dires de M. T______, en tant que témoin, à savoir qu’il a effectivement versé à la mère des recourants un loyer pour les mois de juillet, août et septembre 2018 en tout cas. Ces éléments viennent s’ajouter au contrat de bail produit par les intéressés de sorte que la Cour de céans considère comme désormais établi au degré de la vraisemblance prépondérante que le témoin occupait bel et bien la villa de Sciez au moment du dépôt de la demande de prestations. Par voie de conséquence, les allégations de l’intéressée selon lesquelles ses enfants et elle habitaient et habitent encore Genève, où les enfants sont scolarisés et où elle-même travaille revêtent le même caractère de vraisemblance. Eu égard aux considérations qui précèdent, c’est donc à tort que l’intimé a nié aux recourants le droit aux prestations faute de domicile ou résidence habituelle à Genève. En ce sens, le recours est admis et la cause renvoyée à l’intimé pour calcul du droit aux prestations.</w:t>
      </w:r>
    </w:p>
    <w:p>
      <w:r>
        <w:t>A/1410/2019 - 17/17 -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