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ATAS/240/2026 vom 18. März 2026</w:t>
      </w:r>
    </w:p>
    <w:p>
      <w:r>
        <w:t>GE Cour de justice, 2026-03-18, FR</w:t>
      </w:r>
    </w:p>
    <w:p>
      <w:r>
        <w:rPr>
          <w:b/>
        </w:rPr>
        <w:t xml:space="preserve">Quelle: </w:t>
      </w:r>
      <w:r>
        <w:t>https://mcp.opencaselaw.ch/entscheid/ge_gerichte_ATAS_240_2026</w:t>
      </w:r>
    </w:p>
    <w:p>
      <w:r>
        <w:t>FR: GE_GERICHTE ATAS/240/2026 du 18 mars 2026</w:t>
      </w:r>
    </w:p>
    <w:p>
      <w:r>
        <w:t>IT: GE_GERICHTE ATAS/240/2026 del 18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en tant qu’elle refuse ses prestations au recourant au motif que son atteinte à la santé n’était plus en rapport de causalité naturelle avec son accident du 19 novembre 2022 au-delà du 27 janvier 2023, le recourant admettant que tel était le cas au-delà du 18 octobre 2023.</w:t>
      </w:r>
    </w:p>
    <w:p>
      <w:r>
        <w:rPr>
          <w:b/>
        </w:rPr>
        <w:t>E. 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A/1185/2025 - 6/12 -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selon le critère de la vraisemblance prépondérante, usuel en matière de preuve dans le domaine des assurances sociales (ATF 126 V 360 consid. 5b ; 125 V 195 consid. 2 ; RAMA 2000 n. U 363 p. 46).</w:t>
      </w:r>
    </w:p>
    <w:p>
      <w:r>
        <w:rPr>
          <w:b/>
        </w:rPr>
        <w:t>E. 3.2</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3.3</w:t>
      </w:r>
    </w:p>
    <w:p>
      <w:r>
        <w:t>Selon l’art 44 LPGA, si l’assureur juge une expertise nécessaire dans le cadre de mesures d’instruction médicale, il en fixe le type selon les exigences requises. Trois types d’expertise sont possibles, une expertise monodisciplinaire, bidisciplinaire ou pluridisciplinaire (al. 1). Lorsqu’il communique le nom des experts, l’assureur soumet aussi aux parties les questions qu’il entend poser aux</w:t>
      </w:r>
    </w:p>
    <w:p>
      <w:r>
        <w:t>A/1185/2025 - 7/12 - experts et leur signale qu’elles ont la possibilité de remettre par écrit des questions supplémentaires dans le même délai. L’assureur décide en dernier ressort des questions qui sont posées aux experts (al. 3).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w:t>
      </w:r>
    </w:p>
    <w:p>
      <w:r>
        <w:t>A/1185/2025 - 8/12 - comme ayant disparu (arrêt du Tribunal fédéral 8C_343/2022 du 11 octobre 2022 consid. 3.2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3.5</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4.1</w:t>
      </w:r>
    </w:p>
    <w:p>
      <w:r>
        <w:t>En l’espèce, il convient d’examiner en premier lieu la valeur probante du rapport du Dr D______. Celui-ci ayant agi en qualité de « médecin-consultant » de l’intimée, des doutes même légers sur ses conclusions suffisent à remettre en cause leur valeur probante et à imposer une expertise par un médecin indépendant.</w:t>
      </w:r>
    </w:p>
    <w:p>
      <w:r>
        <w:rPr>
          <w:b/>
        </w:rPr>
        <w:t>E. 4.2</w:t>
      </w:r>
    </w:p>
    <w:p>
      <w:r>
        <w:t>Au début de son rapport du 9 octobre 2024, le Dr D______ a récapitulé les pièces au dossier et indiqué que malgré la demande, aucun examen clinique orthopédique détaillé de l’épaule droite, comme du genou, n’avait été mis à sa disposition dans le cadre de l’événement du 19 novembre 2022. Seuls des examens d’imagerie étaient disponibles. Pour cette raison, aucun diagnostic de nature médicale ne pouvait être étayé, de façon stricte, à l’épaule droite, comme au genou gauche.</w:t>
      </w:r>
    </w:p>
    <w:p>
      <w:r>
        <w:t>A/1185/2025 - 9/12 - L’on peut s’étonner que le Dr D______ se soit prononcé sur un dossier incomplet et sur les raisons pour lesquelles il n’a pas procédé lui-même à un examen clinique. Cela s’explique sans doute par le fait qu’il a tardé à s’occuper de ce dossier et qu’il devait rendre son rapport rapidement vu les nombreux rappels reçus. Ce constat suffit déjà à remettre en cause la valeur probante de son rapport.</w:t>
      </w:r>
    </w:p>
    <w:p>
      <w:r>
        <w:rPr>
          <w:b/>
        </w:rPr>
        <w:t>E. 4.3</w:t>
      </w:r>
    </w:p>
    <w:p>
      <w:r>
        <w:t>Il faut également relever qu’il a indiqué, s’agissant de l’épaule droite du recourant, qu’au jour de l’annonce de l’évènement en cause, le 19 novembre 2022, il n’y avait aucun état antérieur à l’épaule droite à retenir, dès lors que le statu quo ante pour cette épaule concernant l’événement du 8 août 2017 avait été fixé au 21 octobre 2019. Ce constat du Dr D______ apparaît discutable, dès lors que le recourant a été opéré à l’épaule droite le 30 janvier 2018. Son état ne pouvait donc être considéré comme « sans état antérieur », quand bien même le statu quo ante a été retenu pour cette épaule. Il est en effet d’usage qu’un diagnostic post fracture ou opération soit mentionné dans ces cas. D’ailleurs dans son rapport initial LAA, le Dr C______ a précisé, comme circonstances particulières pouvant influencer négativement le déroulement de la guérison (par exemple, maladie antérieures, accidents), le fait que l’épaule droite avait déjà été opérée. Cela remet également en doute le rapport du Dr D______.</w:t>
      </w:r>
    </w:p>
    <w:p>
      <w:r>
        <w:rPr>
          <w:b/>
        </w:rPr>
        <w:t>E. 4.4</w:t>
      </w:r>
    </w:p>
    <w:p>
      <w:r>
        <w:t>Le Dr D______ a affirmé que les troubles de la santé du recourant retenus en lien de causalité naturelle avec l’événement du 19 novembre 2022 s’étaient éteints, sans séquelles ni séquelles attendues, au 27 janvier 2023 et qu’il ne pouvait donc y avoir eu une rechute de l’événement du 19 novembre 2022, en mars 2023. Il a probablement retenu la date du 27 janvier 2023 sur la base du rapport initial LAA établi par le Dr C______ le 3 avril 2023, lequel indiquait que le traitement était terminé le 27 janvier 2023 avec une reprise de travail dont la date n’était pas mentionnée. Cela est contestable, puisque figurait au dossier, un certificat médical établi le 13 février 2023 par le Dr C______, qui prolongeait l’incapacité de travail du recourant à 100% du 20 janvier au 13 février 2023, avec une reprise à 100% à partir du 14 février 2023. Ce certificat a été transmis à SWICA le 21 février 2023, à teneur du dossier, et il n’a donc pas été établi en octobre 2023, comme le soutient l’intimée. Le Dr D______ ne pouvait ainsi retenir que l’événement du 19 novembre 2022 était éteint, sans séquelles, au 27 janvier 2023.</w:t>
      </w:r>
    </w:p>
    <w:p>
      <w:r>
        <w:rPr>
          <w:b/>
        </w:rPr>
        <w:t>E. 4.5</w:t>
      </w:r>
    </w:p>
    <w:p>
      <w:r>
        <w:t>L’intimée a relevé que le recourant avait produit un certificat médical du 13 février 2023 attestant d’une reprise de travail à 100% dès le 19 octobre 2023, soit huit mois plus tard. Or, à la même date, il était attesté qu’il avait repris le travail à 100% à partir du 14 février 2023. La chambre de céans considère que ce certificat est manifestement daté par erreur du 13 février 2023, le médecin ayant probablement repris le certificat de reprise précédent en omettant d’en modifier la date. Le second certificat de reprise</w:t>
      </w:r>
    </w:p>
    <w:p>
      <w:r>
        <w:t>A/1185/2025 - 10/12 - concerne à l’évidence les suites de l’état de santé tel qu’il a été après l’aggravation des douleurs du recourant en mars-avril 2023.</w:t>
      </w:r>
    </w:p>
    <w:p>
      <w:r>
        <w:rPr>
          <w:b/>
        </w:rPr>
        <w:t>E. 4.6</w:t>
      </w:r>
    </w:p>
    <w:p>
      <w:r>
        <w:t>Le recourant a produit un certificat médical datant du 13 mai 2025 établissant une incapacité de travail du 21 novembre 2022 au 14 février 2023 à 100%, avec une reprise à 100% de capacité le 14 février 2023, puis une rechute avec une incapacité de 100% le 3 avril 2023. L’intimée a fait valoir que des certificats rétroactifs pouvaient se justifier dans des cas exceptionnels, mais, dans tous les cas, la durée de la rétroactivité ne devait pas dépasser une semaine. En l’espèce, cette durée était de plus de deux ans. Aussi, ces attestations, qui avaient été établies pour les besoins de la cause, ne pouvaient pas être acceptées. La chambre de céans constate qu’il ne s’agit pas là d’un certificat rétroactif, puisque le Dr C______ a établi, le 21 novembre 2022, un certificat médical attestant d’une incapacité de travail à 100% du recourant du 19 novembre au 21 janvier 2023 et qu’il a prolongé le 13 février 2023, l’arrêt de travail au même jour. Il est certes regrettable que le Dr C______ n’ait pas établi un arrêt de travail attestant d’une rechute en temps utile, mais il convient d’admettre que la nouvelle incapacité de travail est suffisamment établie par la note téléphonique du 2 mai 2023, qui atteste, en temps réel, que le Dr C______ avait indiqué à SWICA avoir examiné l’assuré la semaine précédente et avoir ordonné une arthro-IRM en raison du manque d’amélioration et des douleurs.</w:t>
      </w:r>
    </w:p>
    <w:p>
      <w:r>
        <w:rPr>
          <w:b/>
        </w:rPr>
        <w:t>E. 4.7</w:t>
      </w:r>
    </w:p>
    <w:p>
      <w:r>
        <w:t>Selon le rapport établi par le Dr C______ le 11 novembre 2024, l’assuré avait bénéficié d’une période d’accalmie suite à l’infiltration de l’épaule entre janvier et mars 2023. Mais après que les effets de celle-ci s’étaient dissipés, ce qui arrivait régulièrement et justifiait qu’il faille parfois infiltrer à plusieurs reprises, les mêmes douleurs et les mêmes pertes fonctionnelles que celles qui avaient fait suite à l’accident du 19 novembre 2022 s’étaient réinstallées progressivement. Ces dernières n’étaient pas présentes avant l’accident. L’arthro-IRM du 24 avril 2023 confirmait l’évolution progressive de la déchirure du sus-épineux causée par l’accident du 19 novembre 2022 dans un premier temps partielle, puis complète. Elle avait été observée par le bilan radiographique/échographique dès le 19 décembre 2022 par une déchirure de la face profonde du tendon du sus-épineux (et du sous-scapulaire) et des foyers de déchirure interstitielle de ce même tendon. Sachant qu’il n’y avait pas eu d’autre évènement traumatique, il s’agissait juste de l’évolution dans le temps de la même lésion post-traumatique de l’accident du 19 novembre 2022 ainsi que de l’échec de l’infiltration. Il peut paraître surprenant que le Dr C______ ait attesté d’une fin de traitement le 27 janvier 2023 dans son rapport du 3 avril 2023, alors qu’il ressort de son rapport du 11 novembre 2024 que l’assuré aurait subi une rechute vers fin mars 2023.</w:t>
      </w:r>
    </w:p>
    <w:p>
      <w:r>
        <w:t>A/1185/2025 - 11/12 - Cela peut toutefois s’expliquer par différentes causes. Il ressort par exemple de la note téléphonique du 2 mai 2023 que le Dr C______ avait indiqué avoir examiné l’assuré la semaine précédente et ordonné une arthro-IRM en raison du manque d’amélioration et des douleurs. Il apparaît ainsi qu’il a pu constater l’aggravation des douleurs après avoir rempli le rapport initial le 3 avril 2023. La chambre de céans retient que le rapport du 11 novembre 2023 est convaincant, à tout le moins suffisamment pour remettre en cause la conclusion contraire du Dr D______, étant relevé qu’il s’est écoulé peu de temps entre la reprise du travail par le recourant et le constat fait à la fin du mois d’avril 2023 par le Dr C______ d’un manque d’amélioration et de douleurs (cf. note téléphonique du 2 mai 2023). Il convient d’ajouter à cet égard que le recourant a fait valoir que sans indemnités journalières ni prise en charge médicale, il n’avait eu d’autre choix que de reprendre le travail à 100% dès le 14 février 2023, alors qu’il n’était pas encore rétabli. Il résulte de ses déclarations qu’il était peut-être encore atteint dans sa santé lorsqu’il a repris le travail, de sorte qu’il n’aurait pas subi une rechute à proprement parler.</w:t>
      </w:r>
    </w:p>
    <w:p>
      <w:r>
        <w:rPr>
          <w:b/>
        </w:rPr>
        <w:t>E. 4.8</w:t>
      </w:r>
    </w:p>
    <w:p>
      <w:r>
        <w:t>En conclusion, le rapport du Dr D______ n’est pas suffisamment probant et il se justifie de renvoyer la cause à l’intimée, pour réexamen du bien-fondé de sa décision, ou instruction complémentaire par une expertise indépendante.</w:t>
      </w:r>
    </w:p>
    <w:p>
      <w:r>
        <w:rPr>
          <w:b/>
        </w:rPr>
        <w:t>E. 5</w:t>
      </w:r>
    </w:p>
    <w:p>
      <w:r>
        <w:t>Le recours est ainsi partiellement admis. La décision querellée sera annulée et la cause renvoyée à l’intimée pour instruction complémentaire. Le recourant obtenant partiellement gain de cause et étant assisté d’un conseil, il a droit à des dépens qui seront fixés à CHF 2'500.- et mis à la charge de l’intimée (art. 61 let. g LPGA). La procédure est gratuite (art. 61 let. fbis a contrario LPGA).</w:t>
      </w:r>
    </w:p>
    <w:p>
      <w:r>
        <w:t>A/1185/2025 - 12/12 -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