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ATAS/240/2025 vom 3. April 2025</w:t>
      </w:r>
    </w:p>
    <w:p>
      <w:r>
        <w:t>GE Cour de justice, 2025-04-03, FR</w:t>
      </w:r>
    </w:p>
    <w:p>
      <w:r>
        <w:rPr>
          <w:b/>
        </w:rPr>
        <w:t xml:space="preserve">Quelle: </w:t>
      </w:r>
      <w:r>
        <w:t>https://mcp.opencaselaw.ch/entscheid/ge_gerichte_ATAS_240_2025</w:t>
      </w:r>
    </w:p>
    <w:p>
      <w:r>
        <w:t>FR: GE_GERICHTE ATAS/240/2025 du 3 avril 2025</w:t>
      </w:r>
    </w:p>
    <w:p>
      <w:r>
        <w:t>IT: GE_GERICHTE ATAS/240/2025 del 3 aprile 2025</w:t>
      </w:r>
    </w:p>
    <w:p>
      <w:pPr>
        <w:pStyle w:val="Heading2"/>
      </w:pPr>
      <w:r>
        <w:t>Volltext</w:t>
      </w:r>
    </w:p>
    <w:p>
      <w:r>
        <w:t>Siégeant : Karine STECK, présidente ; Michael BIOT et Claudiane CORTHAY, juges assesseurs</w:t>
      </w:r>
    </w:p>
    <w:p>
      <w:r>
        <w:t>RÉPUBLIQUE ET</w:t>
      </w:r>
    </w:p>
    <w:p>
      <w:r>
        <w:t>CANTON DE GEN ÈVE POUVOIR JUDICIAIRE</w:t>
      </w:r>
    </w:p>
    <w:p>
      <w:r>
        <w:t>A/1820/2022 ATAS/240/2025 COUR DE JUSTICE Chambre des assurances sociales Arrêt du 3 avril 2025 Chambre 3</w:t>
      </w:r>
    </w:p>
    <w:p>
      <w:r>
        <w:t>En la cause A______ représenté par Me Marc BALAVOINE, avocat</w:t>
      </w:r>
    </w:p>
    <w:p>
      <w:r>
        <w:t>recourant</w:t>
      </w:r>
    </w:p>
    <w:p>
      <w:r>
        <w:t>contre OFFICE DE L'ASSURANCE-INVALIDITE DU CANTON DE GENEVE</w:t>
      </w:r>
    </w:p>
    <w:p>
      <w:r>
        <w:t>intimé</w:t>
      </w:r>
    </w:p>
    <w:p>
      <w:r>
        <w:t>A/1820/2022 - 2/3 - Vu la décision du 5 mai 2022 rendue par l’office de l’assurance-invalidité du canton de Genève (ci-après : OAI) concernant A______ (ci-après : l’assuré) ; Vu le recours de l’assuré du 2 juin 2022, la réponse de l’intimé, la réplique et la duplique ; Vu l’audience d’enquêtes du 6 juillet 2023 ; Vu les conclusions des parties ; Vu l'arrêt de la Cour de céans du 26 avril 2024 ; Vu l'arrêt du Tribunal fédéral du 25 février 2025 annulant cet arrêt, renvoyant la cause à l’office intimé pour instruction complémentaire et nouvelle décision, et renvoyant la cause à la Cour de céans pour statuer sur les frais et les dépens de la procédure ; Attendu que le recourant qui obtient gain de cause a droit à des dépens à titre de participation à ses frais et à ceux de son avocat ; Que la Cour de céans fixe les dépens en fonction du nombre d'écritures, d'audiences et d'actes d'instruction ; Qu'en l'espèce, il y a lieu de fixer les dépens à CHF 2’800.-.</w:t>
      </w:r>
    </w:p>
    <w:p>
      <w:r>
        <w:t>***</w:t>
      </w:r>
    </w:p>
    <w:p>
      <w:r>
        <w:t>A/1820/2022 - 3/3 -</w:t>
      </w:r>
    </w:p>
    <w:p>
      <w:r>
        <w:t>PAR CES MOTIFS, LA CHAMBRE DES ASSURANCES SOCIALES : Statuant</w:t>
      </w:r>
    </w:p>
    <w:p>
      <w:r>
        <w:t>1. Condamne l’intimé à verser au recourant une indemnité de CHF 2’800.- à titre de dépens.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