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ATAS/23/2013 vom 16. Januar 2013</w:t>
      </w:r>
    </w:p>
    <w:p>
      <w:r>
        <w:t>GE Cour de justice, 2013-01-16, FR</w:t>
      </w:r>
    </w:p>
    <w:p>
      <w:r>
        <w:rPr>
          <w:b/>
        </w:rPr>
        <w:t xml:space="preserve">Quelle: </w:t>
      </w:r>
      <w:r>
        <w:t>https://mcp.opencaselaw.ch/entscheid/ge_gerichte_ATAS_23_2013</w:t>
      </w:r>
    </w:p>
    <w:p>
      <w:r>
        <w:t>FR: GE_GERICHTE ATAS/23/2013 du 16 janvier 2013</w:t>
      </w:r>
    </w:p>
    <w:p>
      <w:r>
        <w:t>IT: GE_GERICHTE ATAS/23/2013 del 16 gennaio 2013</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w:t>
      </w:r>
    </w:p>
    <w:p>
      <w:r>
        <w:rPr>
          <w:b/>
        </w:rPr>
        <w:t>E. 2</w:t>
      </w:r>
    </w:p>
    <w:p>
      <w:r>
        <w:t>Interjeté dans la forme prescrite par la loi, la demande est recevable ( art. 89B al. 1 de la loi sur la procédure administrative, du 12 septembre 1985 (LPA ; RS E 5 10).</w:t>
      </w:r>
    </w:p>
    <w:p>
      <w:r>
        <w:rPr>
          <w:b/>
        </w:rPr>
        <w:t>E. 3</w:t>
      </w:r>
    </w:p>
    <w:p>
      <w:r>
        <w:t>Conformément à l'art. 104 al. 1 de la loi fédérale du 30 mars 1911, complétant le Code civil suisse (CO, Code des obligations ; RS 220), le débiteur en demeure pour le paiement d'une somme d'argent doit l'intérêt moratoire de 5% par an. La demanderesse a mis la défenderesse en demeure de payer la somme de 22'344 fr. 95 par courrier du 9 juillet 2010. Partant, elle peut prétendre aux intérêts moratoires sur cette somme dès le 10 suivant, conformément à ses conclusions.</w:t>
      </w:r>
    </w:p>
    <w:p>
      <w:r>
        <w:rPr>
          <w:b/>
        </w:rPr>
        <w:t>E. 4</w:t>
      </w:r>
    </w:p>
    <w:p>
      <w:r>
        <w:t>Quant aux frais de poursuite, ils sont d'office supportés par le débiteur lorsque la poursuite aboutit (JdT 1974 III 32).</w:t>
      </w:r>
    </w:p>
    <w:p>
      <w:r>
        <w:rPr>
          <w:b/>
        </w:rPr>
        <w:t>E. 5</w:t>
      </w:r>
    </w:p>
    <w:p>
      <w:r>
        <w:t>La demanderesse réclame également une somme de 300 fr. à titre de frais de recouvrement dans le commandement de payer. Toutefois, elle n'a pas indiqué dans sa demande quel est le fondement de cette prétention et cela ne résulte pas non plus des pièces produites. Partant, la demande devra être rejetée sur ce point.</w:t>
      </w:r>
    </w:p>
    <w:p>
      <w:r>
        <w:rPr>
          <w:b/>
        </w:rPr>
        <w:t>E. 6</w:t>
      </w:r>
    </w:p>
    <w:p>
      <w:r>
        <w:t>La demande sera donc partiellement admise.</w:t>
      </w:r>
    </w:p>
    <w:p>
      <w:r>
        <w:rPr>
          <w:b/>
        </w:rPr>
        <w:t>E. 7</w:t>
      </w:r>
    </w:p>
    <w:p>
      <w:r>
        <w:t>Dans la mesure où la demanderesse obtient très largement gain de cause, il n'y a pas lieu d'octroyer des dépens à la défenderesse, laquelle a de surcroît renoncé à se défendre.</w:t>
      </w:r>
    </w:p>
    <w:p>
      <w:r>
        <w:t>A/3274/2012 - 5/5 -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