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ATAS/23/2009 vom 14. Januar 2009</w:t>
      </w:r>
    </w:p>
    <w:p>
      <w:r>
        <w:t>GE Cour de justice, 2009-01-14, FR</w:t>
      </w:r>
    </w:p>
    <w:p>
      <w:r>
        <w:rPr>
          <w:b/>
        </w:rPr>
        <w:t xml:space="preserve">Quelle: </w:t>
      </w:r>
      <w:r>
        <w:t>https://mcp.opencaselaw.ch/entscheid/ge_gerichte_ATAS_23_2009</w:t>
      </w:r>
    </w:p>
    <w:p>
      <w:r>
        <w:t>FR: GE_GERICHTE ATAS/23/2009 du 14 janvier 2009</w:t>
      </w:r>
    </w:p>
    <w:p>
      <w:r>
        <w:t>IT: GE_GERICHTE ATAS/23/2009 del 14 gennaio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n'ont pas à être prises en considération dans le présent litige, l'état de fait dont les conséquences juridiques font l'objet de la décision dont est recours étant antérieur.</w:t>
      </w:r>
    </w:p>
    <w:p>
      <w:r>
        <w:rPr>
          <w:b/>
        </w:rPr>
        <w:t>E. 3</w:t>
      </w:r>
    </w:p>
    <w:p>
      <w:r>
        <w:t>Interjeté dans les délai et forme prescrits par la loi, le recours est recevable (art. 56 ss LPGA).</w:t>
      </w:r>
    </w:p>
    <w:p>
      <w:r>
        <w:rPr>
          <w:b/>
        </w:rPr>
        <w:t>E. 4</w:t>
      </w:r>
    </w:p>
    <w:p>
      <w:r>
        <w:t>Est litigieuse en l'occurrence la question de savoir si le recourant est atteint d'une invalidité lui ouvrant le droit aux prestations de l'assurance 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w:t>
      </w:r>
    </w:p>
    <w:p>
      <w:r>
        <w:t>A/3356/2007 - 8/12 -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7</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A/3356/2007 - 9/12 -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9</w:t>
      </w:r>
    </w:p>
    <w:p>
      <w:r>
        <w:t>a) En l'espèce, le recourant a fait l'objet d'une expertise judiciaire, après avoir été soumis à une expertise psychiatrique par le Dr C__________. Cette expertise remplit en principe tous les réquisits jurisprudentiels susmentionnés pour lui reconnaître une pleine valeur probante. Contrairement à ce que fait valoir l'intimé, il n'apparaît pas non plus que l'expert ait manqué d'impartialité. D'une part, il s'est montré critique vis-à-vis d'un autre expert et non pas vis-à-vis de l'expertisé. Or,</w:t>
      </w:r>
    </w:p>
    <w:p>
      <w:r>
        <w:t>A/3356/2007 - 10/12 - seule l’attitude envers ce dernier est déterminante. Il convient par ailleurs de relever que les confrères d'une profession et notamment les médecins ont plutôt tendance à se soutenir et non pas à se critiquer. D'autre part, il était expressément demandé à l'expert judiciaire de se déterminer sur l'expertise du Dr C__________, de sorte que cela ne saurait lui être reproché. Au contraire, s'il avait omis de le faire, l'expertise judiciaire n'aurait pas été totalement complète. Il convient par ailleurs de relever que les incohérences de l'expertise du Dr C__________ avait déjà été mises en évidence par le Tribunal de céans dans son ordonnance d'expertise du 24 juin 2008, dans laquelle il a constaté que le Dr C__________ n'avait pas approfondi les difficultés neurocognitives ni examiné leurs répercussions sur la capacité de travail. Le Tribunal s'était également étonné que ce dernier médecin ait fait totalement abstraction des plaintes et données subjectives du recourant, tout en admettant qu'il s'agissait d'un homme agréable, sympathique et touchant, ce qui semble contredire une attitude de majoration, voire de simulation de symptômes. Ces lacunes et contradictions ont précisément rendu nécessaire la mise en œuvre d'une expertise judiciaire. Cela étant, le Tribunal de céans accorde une pleine valeur probante à l'expertise du Dr D_________, laquelle n'est par ailleurs pas contredite par l'avis d'un autre spécialiste, hormis celui du Dr C__________ qui a été toutefois écarté. b) Selon l'expert judiciaire, le recourant souffre d'un épisode dépressif sévère, ainsi que d'une démence. Sa capacité de travail est nulle depuis son licenciement, celui-ci ayant été éventuellement motivé précisément par une baisse des performance du recourant. Un traitement médical plus adéquat ne pourrait pas ailleurs pas améliorer la capacité de travail, de l'avis du Dr D_________. De surcroît, même si l'état de santé du recourant s'est encore aggravé depuis 2007, l'expert estime que la capacité de travail était déjà nulle lors de son licenciement. Il est à cet égard à rappeler que le Dr B__________ avait également relevé des symptômes compatibles avec une démence débutante et un état dépressif dans son rapport du 5 janvier 2005, à savoir un état anxieux dépressif, des troubles du sommeil, un manque de concentration, des troubles de la mémoire, tristesse, angoisses et désorientation dans l'espace. Il ne paraît ainsi pas convaincant de considérer qu'une aggravation avec répercussion sur la capacité de travail ne s'est produite que depuis 2007, comme le déclare la Dresse E_________. Comme exposé ci-dessus, le Tribunal de céans n'a aucune raison de s'écarter des conclusions de l'expertise judicaire et admettra ainsi une invalidité totale depuis que l'incapacité de travail durable a été constatée pour la première fois, soit dès octobre 2004. Par conséquent, le recourant peut prétendre à une rente d'invalidité entière une année après son arrêt de travail, soit dès octobre 2005.</w:t>
      </w:r>
    </w:p>
    <w:p>
      <w:r>
        <w:t>A/3356/2007 - 11/12 -</w:t>
      </w:r>
    </w:p>
    <w:p>
      <w:r>
        <w:rPr>
          <w:b/>
        </w:rPr>
        <w:t>E. 10</w:t>
      </w:r>
    </w:p>
    <w:p>
      <w:r>
        <w:t>Au vu de ce qui précède, le recours sera admis, la décision du 9 juillet 2007 annulée et le recourant mis au bénéfice d'une rente d'invalidité entière à compter d'octobre 2005.</w:t>
      </w:r>
    </w:p>
    <w:p>
      <w:r>
        <w:rPr>
          <w:b/>
        </w:rPr>
        <w:t>E. 11</w:t>
      </w:r>
    </w:p>
    <w:p>
      <w:r>
        <w:t>Le recourant obtenant gain de cause, une indemnité de 3'000 fr. lui est octroyée à titre de dépens.</w:t>
      </w:r>
    </w:p>
    <w:p>
      <w:r>
        <w:rPr>
          <w:b/>
        </w:rPr>
        <w:t>E. 12</w:t>
      </w:r>
    </w:p>
    <w:p>
      <w:r>
        <w:t>Vu l'issue de la cause, l'émolument de justice de 200 fr. est mis à la charge de l'intimé.</w:t>
      </w:r>
    </w:p>
    <w:p>
      <w:r>
        <w:t>A/3356/2007 - 12/12 -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