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ATAS/239/2023 vom 3. April 2023</w:t>
      </w:r>
    </w:p>
    <w:p>
      <w:r>
        <w:t>GE Cour de justice, 2023-04-03, FR</w:t>
      </w:r>
    </w:p>
    <w:p>
      <w:r>
        <w:rPr>
          <w:b/>
        </w:rPr>
        <w:t xml:space="preserve">Quelle: </w:t>
      </w:r>
      <w:r>
        <w:t>https://mcp.opencaselaw.ch/entscheid/ge_gerichte_ATAS_239_2023</w:t>
      </w:r>
    </w:p>
    <w:p>
      <w:r>
        <w:t>FR: GE_GERICHTE ATAS/239/2023 du 3 avril 2023</w:t>
      </w:r>
    </w:p>
    <w:p>
      <w:r>
        <w:t>IT: GE_GERICHTE ATAS/239/2023 del 3 aprile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60 LPGA).</w:t>
      </w:r>
    </w:p>
    <w:p>
      <w:r>
        <w:rPr>
          <w:b/>
        </w:rPr>
        <w:t>E. 2</w:t>
      </w:r>
    </w:p>
    <w:p>
      <w:r>
        <w:t>Le litige porte sur le droit de la recourante à une rente d’invalidité, singulièrement sur l’évaluation de sa capacité de travail.</w:t>
      </w:r>
    </w:p>
    <w:p>
      <w:r>
        <w:t>A/1199/2022 - 5/9 -</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recourante invoque une incapacité de travail ayant débuté antérieurement au 1er janvier 2022, de sorte que l’ancien droit reste applicble.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w:t>
      </w:r>
    </w:p>
    <w:p>
      <w:r>
        <w:t>A/1199/2022 - 6/9 - règles de l’art sur les critères d’un système de classification reconnu, tel le CIM ou le DSM-IV (ATF 143 V 409 consid. 4.5.2 ; ATF 141 V 281 consid. 2.1 et 2.1.1 ; ATF 130 V 396 consid. 5.3 et 6).</w:t>
      </w:r>
    </w:p>
    <w:p>
      <w:r>
        <w:rPr>
          <w:b/>
        </w:rPr>
        <w:t>E. 5.2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w:t>
      </w:r>
    </w:p>
    <w:p>
      <w:r>
        <w:t>A/1199/2022 - 7/9 - Le caractère primaire ou secondaire d’un trouble de la dépendance n’est plus décisif pour en nier d’emblée toute pertinence sous l’angle du droit de l’assurance-invalidité (arrêt du Tribunal fédéral 9C_618/2019 du 16 mars 2020 consid. 8.1.1).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7.2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w:t>
      </w:r>
    </w:p>
    <w:p>
      <w:r>
        <w:t>A/1199/2022 - 8/9 - une instruction complémentaire sous la forme d'une nouvelle expertise médicale (ATF 143 V 269 consid. 6.2.3.2 et les références ; ATF 135 V 465 consid. 4.4. et les références ; ATF 125 V 351 consid. 3b/aa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En l’occurrence, la chambre de céans a ordonné une expertise judiciaire auprès du Dr L______, lequel a rendu son rapport le l7 février 2023, concluant à une capacité de travail de la recourante de 50%. Les parties ont admis la valeur probante de cette expertise, laquelle peut être confirmée, et l’intimé a conclu à l’octroi à la recourante d’une demi-rente d’invalidité dès le 1er avril 2021. Compte tenu du dépôt de la demande de prestations le 15 octobre 2020, il convient de confirmer ce droit. Au vu de ce qui précède, le recours sera admis, la décision litigieuse annulée et il sera dit que la recourante a droit à une demi-rente d’invalidité dès le 1er avril 2021.</w:t>
      </w:r>
    </w:p>
    <w:p>
      <w:r>
        <w:rPr>
          <w:b/>
        </w:rPr>
        <w:t>E. 9.2</w:t>
      </w:r>
    </w:p>
    <w:p>
      <w:r>
        <w:t>Pour le surplus, la recourante, représentée par un avocat, obtenant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A/1199/2022 - 9/9 -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