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ATAS/239/2021 vom 3. November 2020</w:t>
      </w:r>
    </w:p>
    <w:p>
      <w:r>
        <w:t>GE Cour de justice, 2020-11-03, FR</w:t>
      </w:r>
    </w:p>
    <w:p>
      <w:r>
        <w:rPr>
          <w:b/>
        </w:rPr>
        <w:t xml:space="preserve">Quelle: </w:t>
      </w:r>
      <w:r>
        <w:t>https://mcp.opencaselaw.ch/entscheid/ge_gerichte_ATAS_239_2021</w:t>
      </w:r>
    </w:p>
    <w:p>
      <w:r>
        <w:t>FR: GE_GERICHTE ATAS/239/2021 du 3 novembre 2020</w:t>
      </w:r>
    </w:p>
    <w:p>
      <w:r>
        <w:t>IT: GE_GERICHTE ATAS/239/2021 del 3 novembre 2020</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w:t>
      </w:r>
    </w:p>
    <w:p>
      <w:r>
        <w:t>A/690/2021 - 3/5 - Qu’à teneur de l'art. 1 al. 1 LAA, les dispositions de la LPGA s'appliquent à l'assurance- accidents, à moins que la loi n'y déroge expressément ; Que selon l'art. 54 al. 1 let. c LPGA les décisions et les décisions sur opposition sont exécutoires lorsque l'effet suspensif attribué à une opposition ou à un recours a été retiré ; Qu’en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 que l'assureur peut, sur requête ou d'office, retirer l'effet suspensif ou rétablir l'effet suspensif retiré dans la décision ; qu’une telle requête doit être traitée sans délai (al. 2) ; Que la LPGA ne contient aucune disposition topique en matière d'effet suspensif ; que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 que l'art. 61 LPGA, qui règle la procédure de recours devant le tribunal cantonal des assurances, renvoie quant à lui à l'art. 1 al. 3 PA ; qu’aux termes de cette disposition, l'art. 55 al. 2 et 4 PA relatif au retrait de l'effet suspensif est applicable à la procédure devant les autorités cantonales de dernière instance qui ne statuent pas définitivement en vertu du droit public fédéral ; Que l'art. 55 al. 3 PA prévoit que l'autorité de recours ou son président peut restituer l'effet suspensif à un recours auquel l'autorité inférieure l'avait retiré ; que la demande de restitution de l'effet suspensif est traitée sans délai ; Que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(ATF 124 V 82 consid. 6a; arrêt du Tribunal fédéral 9C_885/2014 du 17 avril 2015 consid. 4.2) ; Qu’en l’occurrence, la SUVA estime pour l’essentiel que son intérêt à supprimer ses prestations, depuis le 6 novembre 2020 et pendant la durée de la procédure, prime celui</w:t>
      </w:r>
    </w:p>
    <w:p>
      <w:r>
        <w:t>A/690/2021 - 4/5 - de l’assurée à les obtenir, au motif qu’il est à craindre que celle-ci, mise au bénéfice des prestations, ne soit pas en mesure de les restituer si elle n’obtenait pas gain de cause sur le fond ; que l’assurée n’a du reste pas fait valoir un intérêt prépondérant à recevoir lesdites prestations ; qu’il n’apparaît pas enfin qu’elle l’emportera dans la cause principale ; Que l’assurée n’apporte quant à elle aucun argument en faveur du rétablissement de l’effet suspensif ; Qu’en l’espèce, l’assureur a considéré que la persistance des troubles était due à un état dégénératif sévère ; que l’assurée fait au contraire valoir que les douleurs lombaires actuelles dont elle souffre sont en relation de causalité avec les accidents des 27 juillet et 17 octobre 2019 ; que selon elle, les anomalies de la colonne lombaire mises en évidence par les examens radiologiques et les IRM étaient asymptomatiques avant ces deux accidents, « à l’exception de très très rares épisodes de faibles douleurs lombaires, comme chaque être humain » et « qu’il n’est pas possible d’affirmer, avec une certitude médico-pratique et une certitude scientifique et au degré de vraisemblance prépondérante, que les douleurs lombaires actuelles n’ont plus de relation de causalité avec les accidents des 27 juillet 2019 et 17 octobre 2019 (statu quo ante) » ; Que force est de constater que les avis divergent sur la question du lien de causalité entre les douleurs lombaires et l’accident du 17 octobre 2019 au-delà du 6 novembre 2020 ; Que selon la jurisprudence du Tribunal fédéral, les prévisions sur l'issue du litige au fond ne doivent faire aucun doute ; que dès lors, à ce stade de la procédure, les chances de succès de l'assurée sur le fond du litige, à la lumière de la jurisprudence fédérale, n'apparaissent pas prima faciae telles qu'elles l'emportent sur l'intérêt de l’assureur à l'exécution immédiate de sa décision de cesser de verser à l’assurée les prestations LAA au-delà du 6 novembre 2020 ; Qu’il y a lieu de rejeter la demande en restitution de l’effet suspensif ;</w:t>
      </w:r>
    </w:p>
    <w:p>
      <w:r>
        <w:t>A/690/2021 - 5/5 -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