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ATAS/238/2011 vom 8. März 2011</w:t>
      </w:r>
    </w:p>
    <w:p>
      <w:r>
        <w:t>GE Cour de justice, 2011-03-08, FR</w:t>
      </w:r>
    </w:p>
    <w:p>
      <w:r>
        <w:rPr>
          <w:b/>
        </w:rPr>
        <w:t xml:space="preserve">Quelle: </w:t>
      </w:r>
      <w:r>
        <w:t>https://mcp.opencaselaw.ch/entscheid/ge_gerichte_ATAS_238_2011</w:t>
      </w:r>
    </w:p>
    <w:p>
      <w:r>
        <w:t>FR: GE_GERICHTE ATAS/238/2011 du 8 mars 2011</w:t>
      </w:r>
    </w:p>
    <w:p>
      <w:r>
        <w:t>IT: GE_GERICHTE ATAS/238/2011 del 8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w:t>
      </w:r>
    </w:p>
    <w:p>
      <w:r>
        <w:t>A/2293/2009 - 9/21 -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date du 6 février 2009, de sorte que la LPGA, entrée en vigueur le 1er janvier 2003 et les modifications de la LAI relatives à la 4ème révision entrées en vigueur le 1er janvier 2004 sont applicables. Les modifications de la LAI relatives à la 5ème révision sont entrées en vigueur le 1er janvier 2008. Par conséquent, d’un point de vue matériel, le droit éventuel à une rente d’invalidité postérieurement au 31 octobre 2008 doit être examiné au regard des nouvelles normes de la LPGA et des modifications de la LAI consécutives à la 4ème et à la 5ème révision de cette loi, dans la mesure de leur pertinence (ATF 130 V 445 et les références, voir également ATF 130 V 329).</w:t>
      </w:r>
    </w:p>
    <w:p>
      <w:r>
        <w:rPr>
          <w:b/>
        </w:rPr>
        <w:t>E. 3</w:t>
      </w:r>
    </w:p>
    <w:p>
      <w:r>
        <w:t>Déposé dans les formes et délai prévus par la loi, le présent recours est recevable (art. 56 à 61 LPGA).</w:t>
      </w:r>
    </w:p>
    <w:p>
      <w:r>
        <w:rPr>
          <w:b/>
        </w:rPr>
        <w:t>E. 4</w:t>
      </w:r>
    </w:p>
    <w:p>
      <w:r>
        <w:t>Le litige porte sur le degré d’invalidité que présente le recourant en raison des atteintes à la santé dont il souffre.</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w:t>
      </w:r>
    </w:p>
    <w:p>
      <w:r>
        <w:t>A/2293/2009 - 10/21 - La rente est échelonnée selon le taux d’invalidité (al. 2) : 40 % au moins donne droit à un quart de rente; 50 % au moins à une demie rente; 60 % au moins à un trois quarts de rente et 70 % au moins à une rente entière.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Elle est destinée à déterminer un revenu qui représente au mieux la mise en valeur économique exigible des activités compatibles avec la capacité de travail résiduelle de l’assuré (cf. ATF 126 V 78 consid. 5). On ajoutera enfin que le Tribunal fédéral a rendu une décision de principe, selon laquelle il convient de ne</w:t>
      </w:r>
    </w:p>
    <w:p>
      <w:r>
        <w:t>A/2293/2009 - 11/21 -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De plus, en vertu de l’art. 88a du règlement du 17 janvier 1961 sur l’assurance- invalidité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A/2293/2009 - 12/21 - b/aa)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not. arrêt non publié du Tribunal fédéral 9C_369/2008 du 5 mars 2009).</w:t>
      </w:r>
    </w:p>
    <w:p>
      <w:r>
        <w:t>A/2293/2009 - 13/21 -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b/dd) Le Tribunal fédéral a cependant eu l’occasion d’expliquer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consid. 3.2).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w:t>
      </w:r>
    </w:p>
    <w:p>
      <w:r>
        <w:t>A/2293/2009 - 14/21 -</w:t>
      </w:r>
    </w:p>
    <w:p>
      <w:r>
        <w:rPr>
          <w:b/>
        </w:rPr>
        <w:t>E. 8</w:t>
      </w:r>
    </w:p>
    <w:p>
      <w:r>
        <w:t>Dans le cas d'espèce, la décision de l'OAI de limiter l'octroi d'une rente entière est fondée sur l'avis du SMR du 10 septembre 2008, lui-même entièrement basé sur le rapport de la CRR du 6 août 2008. La Cour de céans constate que ce rapport se base sur des examens du recourant, sur ses plaintes, sur son dossier médical et radiologique et sur une anamnèse médicale très complète. L'assuré a été soumis à un examen somatique, neuropsychologique et psychiatrique. Il a bénéficié de séances de physiothérapie et d'ergothérapie ayant permis une légère amélioration de ses limitations. Ses capacités ont été examinées dans le cadre d'ateliers, mais aussi de la vie courante dans la clinique. Les limitations fonctionnelles ont été précisément exposées et sont fondées sur les performances réalisées par le patient après trois semaines de rééducation fonctionnelle. La description et l’appréciation médicales sont claires. En effet, les médecins se sont exprimés sur les raisons qui les amenaient à retenir une pleine capacité de travail dans une activité adaptée aux limitations fonctionnelles de l'assuré. Leurs conclusions sont motivées et convaincantes. De plus, leur rapport ne contient ni contradictions ni indices permettant de remettre en cause le bien-fondé des conclusions. Au demeurant, ces conclusions ne sont pas remises en cause par les divers autres avis médicaux au dossier ou contredites par d'autres éléments probants. L'importante limitation dans les déplacements relevée par l'atelier de réadaptation des HUG est identique à celle constatée par la CRR à l'admission du patient, mais elle a connu une amélioration lors du séjour à la CRR. De plus, les HUG relèvent aussi un rendement de 100% dans une activité en position uniquement assise. L'avis du Dr D____________, médecin traitant, n'est pas suffisamment étayé pour admettre ses conclusions, à savoir que l'assuré ne peut pas travailler car son état n'est pas stabilisé, plusieurs opérations étant encore nécessaires et l'assuré ne pouvant pas lire plus de deux lignes d'affilée. Les seules opérations documentées sont la pose prévue d'un filet abdominal suite à une éventration et la correction des multiples cicatrices ventrales, mais après que le patient ait perdu du poids, selon le Prof. E____________ des HUG. Le Dr C____________, spécialiste en chirurgie orthopédique, et qui a également ausculté le patient, a admis une stabilisation de l'état de santé fin avril 2008, le séjour à la CRR ayant pout but de déterminer précisément ses limitations fonctionnelles et sa capacité de travail. Ni le prof E____________ (chirurgie viscérale), ni le Dr F____________ (oto-rhino- laryngologue), ni aucun des autres spécialistes ayant soigné ou eu en consultation l'assuré suite à son accident ne font état d'autres limitations que celles admises par la CRR (outre la fatigue) ou d'une incapacité de travail dans toute activité. La mention d'un dommage permanent par le Dr C____________ concerne le calcul de l'indemnité pour atteinte à l'intégrité corporelle, qui est tout à fait indépendante de l'appréciation de la capacité de travail. Le défaut d'acuité d'un œil est réel, mais n'empêche pas l'assuré de conduire son véhicule privé, ni de travailler en atelier aux HUG à la CRR durant plusieurs heures d'affilée.</w:t>
      </w:r>
    </w:p>
    <w:p>
      <w:r>
        <w:t>A/2293/2009 - 15/21 - Les conclusions de la CRR sont donc convaincantes et ne contredisent pas les autres avis: l'assuré est totalement et définitivement incapable d'exercer sa précédente profession et les séquelles au membre inférieur gauche resteront élevées, malgré une amélioration de la marche. L'assuré peut exercer à 100% une profession qui tienne compte des limitations admises. Du point de vue neurologique, il reste de discrètes difficultés exécutives; du point de vue ophtalmique: l'acuité visuelle de l'œil droit est diminuée; du point de vue moteur, sont à proscrire: les longs déplacements, la position debout prolongée, la marche dans les escaliers ou sur des échelles, la position accroupie et à genoux et le port de charge de plus de 15 kg. Le premier grief de l'assuré doit donc être écarté et la Cour peut se fonder sur le rapport de la CRR, sans instruction médicale complémentaire. S'agissant des résultats de la mesure d'observation et d'orientation auprès des EPI, elle a permis de corroborer les conclusions médicales, à savoir que l'assuré est capable de travailler à plein temps, en position majoritairement assise (80%), sans port de charge et sans travaux fins en raison du défaut d'acuité visuelle, dans le circuit économique normal avec un rendement de 80% à 100%. A noter que le rendement réduit à 50% lors du stage pratique est essentiellement dû à l'absence de formation professionnelle et au déficit de connaissance en informatique et de maîtrise de la langue française. Bien que ce constat puisse certes paraître déconcertant, compte tenu de la gravité de l'accident et de ses conséquences immédiates et à long terme sur la santé de l'assuré, qui est fréquemment décrit comme un miraculé, il doit cependant être admis et, comme relevé par plusieurs médecins et autres intervenants, en grande partie dû à la volonté et aux efforts très méritoires de l'assuré.</w:t>
      </w:r>
    </w:p>
    <w:p>
      <w:r>
        <w:rPr>
          <w:b/>
        </w:rPr>
        <w:t>E. 9</w:t>
      </w:r>
    </w:p>
    <w:p>
      <w:r>
        <w:t>Pour ce qui concerne le calcul du revenu d'invalide, les objections de l'assuré ne sont pas dénuées de pertinence, mais le Tribunal fédéral a maintes fois rappelé que l'OAI pouvait se fonder sur les ESS, et faire abstraction des particularités locales telles les conventions collectives, pour déterminer le revenu d'invalide. La jurisprudence du Tribunal Fédéral admet aussi largement le recours à la table TA1 lorsque l'assuré n'a pas de formation professionnelle et peut travailler dans une activité simple et répétitive dans l'industrie légère par exemple ou la vente de détail. Ainsi, le salaire ressortant de ESS 2006, TA1, niveau 4, homme, reporté à un horaire de 41,6 heures est correctement fixé à 59'197 fr. Cela étant, la décision querellée aurait dû calculer le degré d'invalidité sur le salaire de 2008, s'agissant d'une révision de la décision d'octroyer une rente entière en 2006 en raison de l'incapacité totale de travailler dans toute profession. De plus, la diminution de rendement, qui n'a pas été examinée, ni exclue par la CRR, liée à une fatigabilité accrue due à l'absence d'un rein, et à la nécessité d'alterner les positions a été exclue par l'OAI sans examen attentif de la situation. La CRR relève pourtant que l'assuré a pu seulement à quelques reprises travailler en</w:t>
      </w:r>
    </w:p>
    <w:p>
      <w:r>
        <w:t>A/2293/2009 - 16/21 - atelier 8 heures par jour entrecoupées toutefois de séances de physiothérapie et d'ergothérapie et que le maintien de la position assise pour plus de 3 heures augmente les douleurs et oblige l'assuré à se lever, tout en affirmant que la volonté de l'assuré de faire son maximum est réelle et le degré de cohérence élevé. Les EPI admettent un rendement allant de 80% à 100%, voire moins en entreprise en raison de la fatigabilité accrue. Il convient donc de retenir une baisse de rendement moyenne de 20%. De même, si l'OAI a exclu à juste titre que l'assuré ne remplissait pas les conditions d'un abattement maximum en raison de son jeune âge, de son adaptabilité, il a sous évalué l'importance des limitations fonctionnelles, car le défaut d'acuité visuelle, même d'un seul œil, additionné aux autres limitations motrices, est un frein important à l'obtention d'un salaire tel que celui ressortant des ESS. Il convient donc d'admettre un abattement de 20%. C'est ainsi que le salaire ressortant des ESS 2008, TA1, niveau 4, homme, reporté à un horaire de 41,6 heures est de 59'978 fr. Réduit de 40%, le salaire avec invalidité s'élève à 35'987 fr. Le salaire sans invalidité retenu est de 48'000 fr (4'000 fr x 12), alors qu'il ressort de l'attestation de l'employeur qu'un 13ème salaire a été versé en 2005 (document 13, au prorata compte tenu de la prise d'emploi en juin 2005 seulement). Ce 13ème salaire ressort aussi des renseignements donnés par l'assuré lors du stage en ateliers à la CRR (document 36, page 1) et de la déclaration de l'employeur à la SUVA (document 10, page 16). Il est par ailleurs expressément prévu par la convention collective applicable à la branche. Le salaire de l'assuré sans invalidité est donc de 52'000 fr. en 2005. Indexé à 2008, il s'élève à 53'893 fr. Ainsi, le taux d'invalidité de l'assuré, en 2008 est de 33,22% Ainsi, l'amélioration de l'état de santé constatée lors du séjour à la CRR à fin juillet 2008 a un effet important sur le taux d'invalidité, qui passe de 100% à 33%, ce qui justifie la révision de la décision d'octroi de la rente entière en 2006. Un taux d'invalidité de 33% n'ouvre pas de droit à une rente d'invalidité, de sorte que la décision de l'OAI est sur ce point bien fondée.</w:t>
      </w:r>
    </w:p>
    <w:p>
      <w:r>
        <w:rPr>
          <w:b/>
        </w:rPr>
        <w:t>E. 10</w:t>
      </w:r>
    </w:p>
    <w:p>
      <w:r>
        <w:t>Reste à examiner le droit de l'assuré à des mesures de réadaptation professionnelle, et plus particulièrement, comme il le souhaite, un stage de six à douze mois de réentrainement à l'effort. 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l'allocation initiale au travail (art. 18a LAI) et l'aide en capital (art. 18b LAI).</w:t>
      </w:r>
    </w:p>
    <w:p>
      <w:r>
        <w:t>b) L'article 15 LAI prescrit que l'assuré auquel son invalidité rend difficile le choix d'une profession ou l'exercice de son activité antérieure a droit à l'orientation</w:t>
      </w:r>
    </w:p>
    <w:p>
      <w:r>
        <w:t>A/2293/2009 - 17/21 - professionnelle. Selon la circulaire sur les mesures de réadaptation d'ordre professionnel (CMRP) de l'OFAS état au 1er janvier 2009, l'orientation professionnelle, qui inclut également des conseils en matière de carrière, a pour but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w:t>
      </w:r>
    </w:p>
    <w:p>
      <w:r>
        <w:t>A/2293/2009 - 18/21 - d) L'article 18 LAI prévoit que l'assuré qui présente une incapacité de travail (art. 6 LPGA) et qui est susceptible d'être réadapté a droit à un soutien actif dans la recherche d'un emploi, un conseil suivi afin de conserver un emploi.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dans un arrêt du 13 octobre 2009 que la jurisprudence précitée n'a jamais fait mention de la condition d'une perte de gain de 20 % s'agissant des autres mesures d'ordre professionnel prévues par la loi. 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p. 81).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 2006 IV Nr. 45 p. 162). L'art. 18 al. 1 LAI,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w:t>
      </w:r>
    </w:p>
    <w:p>
      <w:r>
        <w:t>A/2293/2009 - 19/21 - en ont déjà un, à un conseil suivi afin de le conserver (FF 2005 4279). Le Conseil fédéral y relève que l'art. 18a (nouveau) al. 1 LAI formule les conditions d'octroi de façon plus large que l'"actuel" art. 18, al. 1, de façon que toute personne en incapacité de travail, mais apte à la réadaptation, puisse profiter du placement et que la disposition est en outre complétée par la précision suivante: la personne assurée - et donc aussi son employeur - n'a pas seulement droit à un conseil suivi en vue du maintien d'un emploi existant mais aussi en vue d'un nouvel emploi procuré par l'AI. De la sorte, la personne assurée et son employeur peuvent compter sur le soutien des spécialistes de l'AI précisément au début d'un nouvel emploi (FF 2005 4319). Ainsi que le relève fréquemment l'OFAS, l'extension du droit au placement dans le cadre de la 5e révision de l'AI ne prévoit pas la possibilité d'une courte période d'observation professionnelle et/ou d'un entraînement au travail. Le Conseil fédéral n'a pas prévu cette possibilité dans le message précité du 22 juin 2005 (FF 2005 4215), ni du reste dans le message du 21 février 2001 relatif à la 4e révision de l'AI (FF 2001 3045). Au regard de l'art. 18 al. 1 LAI, dont le texte et le sens sont absolument clairs, la mesure d'aide au placement ne permet pas de prévoir une courte période d'observation professionnelle et d'entraînement au travail (ATF 9C_416/2009, du 1er mars 2010).</w:t>
      </w:r>
    </w:p>
    <w:p>
      <w:r>
        <w:rPr>
          <w:b/>
        </w:rPr>
        <w:t>E. 11</w:t>
      </w:r>
    </w:p>
    <w:p>
      <w:r>
        <w:t>En l'espèce, à défaut de formation professionnelle initiale, et du fait de la pleine capacité de travail de l'assuré dans une activité simple et répétitive, avec un rendement de 80%, le reclassement ne se justifie pas, malgré le taux d'invalidité de 33% étant rappelé que les préférences de l'assuré, qui exigent une formation en informatique et en français, ne sont pas déterminantes. Le réentrainement à l'effort est, d'une part, exclu des mesures d'aide au placement par le Tribunal Fédéral, et ne semble pas, d'autre part, nécessaire au cas d'espèce, au vu du constat précité d'une pleine capacité sur le marché du travail ordinaire avec une diminution de rendement, ni les médecins, ni les ateliers professionnels ne mentionnant qu'une période de réentraînement soit nécessaire, en sus de celle effectuée à la CRR. Il semble plutôt que le stage de six à douze mois dans le garage X____________ soit une formation en emploi, alliée à des cours de français et d'informatique, et non pas un réentraînement. Si l'intérêt du projet de réorientation n'est pas contestable, il n'est pas à la charge de l'assurance invalidité, dès lors que l'assuré peut travailler, avec un rendement réduit dans un emploi n'exigeant pas de formation particulière, en position assise et que la réorientation envisagée ne lui permet pas de réaliser un salaire supérieur à celui ressortant du TA1 retenu. Au demeurant, aucune place n'étant disponible auprès du garage X____________ pour effectuer ce stage de formation, il n'est pas nécessaire d'examiner si l'Etat, qui a déjà pris en charge à titre tout à fait exceptionnel le stage aux EPI, pourrait se substituer à l'OAI, à défaut d'obligation légale pour ce dernier de prendre en charge des mesures de réadaptation professionnelle.</w:t>
      </w:r>
    </w:p>
    <w:p>
      <w:r>
        <w:t>A/2293/2009 - 20/21 - Sur ce point également, la décision de l'OAI qui n'octroie pas de mesures professionnelles est fondée. Le recourant ne fait pas valoir qu'il serait entravé par ses problèmes de santé dans la recherche d'un emploi approprié au sens de la jurisprudence précitée, étant rappelé que la décision de l'OAI réserve l'éventualité d'une aide au placement sur demande motivée de l'assuré.</w:t>
      </w:r>
    </w:p>
    <w:p>
      <w:r>
        <w:rPr>
          <w:b/>
        </w:rPr>
        <w:t>E. 12</w:t>
      </w:r>
    </w:p>
    <w:p>
      <w:r>
        <w:t>Ainsi, la décision est fondée et le recours doit être rejeté. La procédure n'est pas gratuite en matière de contestation des prestations de l'assurance-invalidité, aux termes de l'art. 69 al. 1bis LAI. Partant, le recourant sera condamné à un émolument de justice de 200 fr.</w:t>
      </w:r>
    </w:p>
    <w:p>
      <w:r>
        <w:t>A/2293/2009 - 21/21 -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