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ATAS/237/2022 vom 16. März 2022</w:t>
      </w:r>
    </w:p>
    <w:p>
      <w:r>
        <w:t>GE Cour de justice, 2022-03-16, FR</w:t>
      </w:r>
    </w:p>
    <w:p>
      <w:r>
        <w:rPr>
          <w:b/>
        </w:rPr>
        <w:t xml:space="preserve">Quelle: </w:t>
      </w:r>
      <w:r>
        <w:t>https://mcp.opencaselaw.ch/entscheid/ge_gerichte_ATAS_237_2022</w:t>
      </w:r>
    </w:p>
    <w:p>
      <w:r>
        <w:t>FR: GE_GERICHTE ATAS/237/2022 du 16 mars 2022</w:t>
      </w:r>
    </w:p>
    <w:p>
      <w:r>
        <w:t>IT: GE_GERICHTE ATAS/237/2022 del 16 marzo 2022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A/3882/2021 ATAS/237/2022 COUR DE JUSTICE Chambre des assurances sociales Arrêt du 16 mars 2022 5ème Chambre</w:t>
      </w:r>
    </w:p>
    <w:p>
      <w:r>
        <w:t>En la cause Madame A______, domiciliée à LA PLAINE, représentée par AXA ARAG Protection juridique</w:t>
      </w:r>
    </w:p>
    <w:p>
      <w:r>
        <w:t>recourante</w:t>
      </w:r>
    </w:p>
    <w:p>
      <w:r>
        <w:t>contre SERVICE DE L'ASSURANCE-MALADIE, sis route de Frontenex 62, GENÈVE</w:t>
      </w:r>
    </w:p>
    <w:p>
      <w:r>
        <w:t>intimé</w:t>
      </w:r>
    </w:p>
    <w:p>
      <w:r>
        <w:t>A/3882/2021 - 2/2 - Vu le courrier du 13 octobre 2021 du service de l’assurance-maladie (ci-après : le SAM) par lequel le SAM a répondu à la demande d’explications de Madame A______ (ci- après : l'intéressée) au sujet des subsides alloués au groupe familial, concernant l'enfant B______, né en ______ 1999 ; Vu le recours posté le 13 novembre 2021 par l’intéressée et dirigé contre le courrier du 13 octobre 2021 ; Vu le courrier provenant de la protection juridique AXA ARAG du 4 janvier 2022, exposant à la chambre de céans que ladite protection juridique avait expliqué à sa mandante que son recours dirigé contre un simple courrier du SAM pouvait être déclaré irrecevable et informant la chambre de céans du retrait du recours déposé par l’intéressée ; Vu la procuration signée par l’intéressée en faveur de la protection juridique et transmise à la chambre de céans en date du 26 janvier 2022 ;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