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ATAS/237/2019 vom 14. März 2019</w:t>
      </w:r>
    </w:p>
    <w:p>
      <w:r>
        <w:t>GE Cour de justice, 2019-03-14, FR</w:t>
      </w:r>
    </w:p>
    <w:p>
      <w:r>
        <w:rPr>
          <w:b/>
        </w:rPr>
        <w:t xml:space="preserve">Quelle: </w:t>
      </w:r>
      <w:r>
        <w:t>https://mcp.opencaselaw.ch/entscheid/ge_gerichte_ATAS_237_2019</w:t>
      </w:r>
    </w:p>
    <w:p>
      <w:r>
        <w:t>FR: GE_GERICHTE ATAS/237/2019 du 14 mars 2019</w:t>
      </w:r>
    </w:p>
    <w:p>
      <w:r>
        <w:t>IT: GE_GERICHTE ATAS/237/2019 del 14 marzo 2019</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Le recours, interjeté sur la base de l'art. 56 al. 2 LPGA qui prévoit qu'un recours peut également être formé lorsque l'assureur, malgré la demande de l'intéressé, ne rend pas de décision ou de décision sur opposition, est recevable. Cependant, une décision étant finalement intervenue le 25 février 2019, le recours pour déni de justice est devenu sans objet.</w:t>
      </w:r>
    </w:p>
    <w:p>
      <w:r>
        <w:rPr>
          <w:b/>
        </w:rPr>
        <w:t>E. 3</w:t>
      </w:r>
    </w:p>
    <w:p>
      <w:r>
        <w:t>Conformément à l’art. 61 let. g LPGA, le recourant qui obtient gain de cause a droit au remboursement de ses frais et dépens. Selon la jurisprudence constante du Tribunal fédéral, le recourant y a droit même lorsque la procédure est sans objet, pour autant que les chances de succès du procès le justifient (ATF 110 V 57 consid. 2a ; RCC 1989 p. 318 consid. 2b).</w:t>
      </w:r>
    </w:p>
    <w:p>
      <w:r>
        <w:t>A/294/2019 - 3/5 - Se pose dès lors la question de savoir si tel était le cas en l’occurrence. Le fait que l’intimé ait rendu une décision ne signifie pas pour autant que la procédure ouverte auprès de la Cour de céans aurait eu des chances de succès. En effet, celles-ci dépendent des règles applicables au déni de justice.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qui exige des cantons que la procédure soit simple et rapide et constitue l'expression d'un principe général du droit des assurances sociales (ATF 110 V 61 consid. 4b ; Ueli KIESER, Das einfache und rasche Verfahren, insbesondere im Sozialversicherungsrecht, in : RSAS 1992 p. 272 ainsi que la note No 28, et p. 278 sv. ;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 117 Ia 193 consid. 1b in fine et c p. 197 ; 107 Ib 160 consid. 3b p. 165 ; Jörg Paul MÜLLER, Grundrechte in der Schweiz, Berne 1999, p. 505 s. ; Georg MÜLLER, Commentaire de la Constitution fédérale, n. 93 ad art. 4 aCst. ; HAEFLIGER/SCHÜRMANN, Die Europäische Menschenrechts- konvention und die Schweiz, Berne 1999, p. 200 ss). Selon la jurisprudence rendue sous l'empire de l'art. 4 al. 1 aCst. -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w:t>
      </w:r>
    </w:p>
    <w:p>
      <w:r>
        <w:t>A/294/2019 - 4/5 -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 / SCHÜRMANN, op. cit., p. 203-204 ;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 ATF 125 V 191 consid. 2a, 375 consid. 2b/aa, 119 Ib 325 consid. 5b ; ATF 122 IV 103 consid. I/4 p. 111; ATF 119 III 1 consid. 3 p. 3; Jörg Paul MÜLLER, op. cit., p. 506 s. ; HAEFLIGER/SCHÜRMANN, op. cit., p. 204 s. ; AUER/MALINVERNI/HOTTELIER, op. cit., nos 1244 ss) ;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l'espèce, il s’est écoulé non pas neuf mois mais près d’une année et demie (seize mois) entre le 27 octobre 2017 – date à laquelle le recourant a formé opposition - et le 25 février 2019 - date à laquelle une décision a formellement été rendue. Au surplus, l’intimé n’a jamais jugé bon de répondre aux courriers que le recourant a pris la peine de lui adresser pour s’enquérir de l’état de la procédure. Enfin, il ne semble pas que l’instruction revêtait la moindre difficulté ni que l’intimé ait dû entreprendre des démarches particulières avant de statuer. Au vu des circonstances, les chances de succès du recourant si la procédure avait été menée à son terme sont avérées, de sorte qu’il y a lieu de lui allouer des dépens.</w:t>
      </w:r>
    </w:p>
    <w:p>
      <w:r>
        <w:t>A/294/2019 - 5/5 -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