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ATAS/236/2026 vom 19. März 2026</w:t>
      </w:r>
    </w:p>
    <w:p>
      <w:r>
        <w:t>GE Cour de justice, 2026-03-19, FR</w:t>
      </w:r>
    </w:p>
    <w:p>
      <w:r>
        <w:rPr>
          <w:b/>
        </w:rPr>
        <w:t xml:space="preserve">Quelle: </w:t>
      </w:r>
      <w:r>
        <w:t>https://mcp.opencaselaw.ch/entscheid/ge_gerichte_ATAS_236_2026</w:t>
      </w:r>
    </w:p>
    <w:p>
      <w:r>
        <w:t>FR: GE_GERICHTE ATAS/236/2026 du 19 mars 2026</w:t>
      </w:r>
    </w:p>
    <w:p>
      <w:r>
        <w:t>IT: GE_GERICHTE ATAS/236/2026 del 19 marzo 2026</w:t>
      </w:r>
    </w:p>
    <w:p>
      <w:pPr>
        <w:pStyle w:val="Heading2"/>
      </w:pPr>
      <w:r>
        <w:t>Erwägungen</w:t>
      </w:r>
    </w:p>
    <w:p>
      <w:r>
        <w:rPr>
          <w:b/>
        </w:rPr>
        <w:t>E. 30</w:t>
      </w:r>
    </w:p>
    <w:p>
      <w:r>
        <w:t>septembre 2025 refusant tout droit à des prestations d’invalidité. Par courrier posté le 12 janvier 2026, l’assurée a recouru contre la décision du 16 décembre 2025 auprès de la chambre des assurances sociales de la Cour de justice (ci-après : la chambre de céans). Elle a conclu, implicitement, à une réforme de la décision en faisant valoir ses troubles somatiques et psychiques et en relevant qu’il n’existait pas de travail adapté à sa condition médicale. b. Par réponse du 9 février 2026, l’OAI a considéré que les éléments apportés par la recourante ne permettaient pas de faire une appréciation différente du cas et a conclu au rejet du recours. L’OAI considérait que les appréciations des médecins l’emportaient sur les constatations qui pouvaient être faites à l’occasion d’un stage professionnel et que les facteurs psychosociaux ou socioculturels ne figuraient pas au nombre des atteintes à la santé susceptibles d’entraîner une incapacité de gain. Partant, l’OAI confirmait le préavis de son SMR qui retenait une capacité de travail dans une activité adaptée de 50% dès le 27 juillet et de 100% dès le</w:t>
      </w:r>
    </w:p>
    <w:p>
      <w:r>
        <w:rPr>
          <w:b/>
        </w:rPr>
        <w:t>E. 31</w:t>
      </w:r>
    </w:p>
    <w:p>
      <w:r>
        <w:t>juillet 2023. Enfin, il était rappelé que selon la jurisprudence du Tribunal fédéral dans un marché équilibré du travail, il existait un nombre significatif d’activités simples et légères qui étaient accessibles sans aucune formation particulière et représentaient des activités adaptées aux limitations fonctionnelles de la recourante. c. Par courrier du 10 février 2026, le conseil de la recourante a informé la chambre de céans de sa constitution et a demandé de pouvoir compléter le recours dès qu’il aurait reçu une copie intégrale du dossier de l’OAI. Par courrier du 13 février 2026, la chambre de céans a confirmé au conseil qu’il pouvait compléter le recours de sa mandante, dans le cadre de la réplique, avec un délai échéant au 3 mars 2026. d. Par réplique de son conseil, postée le 4 mars 2026, la recourante a considéré que la décision querellée reposait toute entière sur l’appréciation médicale du SMR, soit de la docteure I______, spécialiste en médecine générale, laquelle prenait l’exact contre-pied de l’ensemble des médecins qui s’étaient prononcés sur son état de santé. En dépit des échecs successifs des stages de réadaptation subis et de l’avis unanime de l’ensemble des médecins qui indiquaient qu’une activité professionnelle n’était pas envisageable au-delà de 50%, le SMR retenait une capacité de travail de 100%. Le contenu des rapports médicaux transmis dans le cadre de la procédure d’audition était rappelé, notamment l’avis unanime selon lequel la capacité de travail ne dépassait pas 50%. En conclusion, il était demandé, préalablement, d’ordonner une expertise pluridisciplinaire couvrant les domaines</w:t>
      </w:r>
    </w:p>
    <w:p>
      <w:r>
        <w:t>A/99/2026 - 7/16 - de la rhumatologie, de la psychiatrie et de la neurologie et au fond d’octroyer une rente entière d’invalidité à compter du 8 août 2024, sous suite de frais et dépens. e. La réplique de la recourante a été transmise à l’OAI par courrier du 5 mars 2026 ; ce dernier n’a pas réagi. f. La cause a été gardée à juger, ce dont les parties ont été informées. g. Les autres faits ou documents seront mentionnés, en tant que de besoin, dans la partie « en droit » du présent arrêt. 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dans la forme et le délai prévus par la loi, compte tenu de la suspension des délais pendant la période du 18 décembre au 2 janvier inclusivement (art. 38 al. 4 let. c LPGA et art. 89C let. c de la loi sur la procédure administrative du 12 septembre 1985 [LPA-GE - E 5 10]), le recours est recevable. 2. Le litige porte sur le bien-fondé de la décision de refus de prestations de l’OAI. 3.</w:t>
      </w:r>
    </w:p>
    <w:p>
      <w:r>
        <w:t>3.1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A/99/2026 - 8/16 - En l’occurrence, le litige porte, sur des prestations dont il n’est pas contesté que le droit serait né postérieurement au 31 décembre 2021, de sorte que les dispositions légales applicables seront citées dans leur nouvelle teneur. 3.2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 Selon la jurisprudence, si l'assuré peut prétendre à des prestations de l'assurance- 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 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 3.3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3.4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A/99/2026 - 9/16 - 3.5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 3.6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A/99/2026 - 10/16 -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3.7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3.8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3.9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w:t>
      </w:r>
    </w:p>
    <w:p>
      <w:r>
        <w:t>A/99/2026 - 11/16 -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 3.10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4.</w:t>
      </w:r>
    </w:p>
    <w:p>
      <w:r>
        <w:t>4.1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 4.2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w:t>
      </w:r>
    </w:p>
    <w:p>
      <w:r>
        <w:t>A/99/2026 - 12/16 -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4.3 Le revenu d'invalide doit être évalué avant tout en fonction de la situation professionnelle concrète de l'intéressé (ATF 135 V 297 consid. 5.2). On considère que l’assuré exploite autant que possible sa capacité fonctionnelle résiduelle en exerçant une activité lucrative lorsque le revenu qui en découle correspond approximativement à la valeur statistique médiane (OFAS, CIRAI, ch. 3408). Si l’assuré ne réalise pas de revenu déterminant, le revenu avec invalidité est déterminé en fonction des valeurs statistiques visées à l’art. 25 al. 3 RAI (art. 26bis al. 2 RAI). Il y a lieu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(OFAS, CIRAI, ch. 3412). 4.4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w:t>
      </w:r>
    </w:p>
    <w:p>
      <w:r>
        <w:t>A/99/2026 - 13/16 -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 9C_242/2012 du 13 août 2012 consid. 3). 5.</w:t>
      </w:r>
    </w:p>
    <w:p>
      <w:r>
        <w:t>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5.2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6. En l’espèce, l’intimé conclut que les limitations fonctionnelles retenues n’excluent pas une activité de la recourante à 100% et que l’instruction du dossier permet de statuer en pleine connaissance de cause, de sorte que la mise en œuvre de mesures d’investigation complémentaires s’avère inutile.</w:t>
      </w:r>
    </w:p>
    <w:p>
      <w:r>
        <w:t>A/99/2026 - 14/16 - La recourante, quant à elle, s’étonne des conclusions de l’intimé et plus particulièrement de son SMR qui prennent le contre-pied de celles des médecins traitants. La chambre de céans ne peut que manifester son étonnement à la lecture du rapport du SMR du 15 décembre 2025, qui expose tout d’abord que trois médecins estiment que la capacité de travail de la recourante est de 50% - le neurologue ne se prononçant pas sur ce point - mais qui aboutit ensuite à la conclusion que ces pièces médicales n’apportent pas d’éléments susceptibles de modifier les précédentes conclusions médicales, à savoir une entière capacité de travail dans une activité adaptée. Non seulement la conclusion du SMR est extrêmement brève – deux lignes - et ne fait que renvoyer à un précédent rapport, mais elle est de plus en complète contradiction avec les appréciations récentes des médecins traitants. Étant précisé que les conclusions des médecins traitants rejoignent celles de deux organisations professionnelles chargées de faire un bilan des capacités de la recourante, qui n’ont aucun lien entre elles et qui ont été mandatées, l’une par l’intimé et l’autre par l’OCE. Les EPI et F______ sont tous deux arrivés à la conclusion que la recourante était très éloignée du marché du travail et ne disposait pas d’une capacité de travail complète dans une activité adaptée. Dépourvu de motivation et n’expliquant pas les raisons pour lesquelles le SMR ne tient pas compte des appréciations des médecins traitants, son avis médical du 15 décembre 2025 renvoyant à celui du 6 mars 2025, lui-même fondé sur des appréciations médicales datant, pour les plus récentes de l’année 2023, ne saurait être suivi. Partant, la décision de l’intimé, qui se fonde sur l’avis médical de son SMR, sera annulée. En effet, les appréciations concordantes de trois médecins, respectivement généraliste, rhumatologue et psychiatre, qui datent du mois d’octobre 2025 et sont par conséquent plus récentes que celles sur lesquelles s’est fondé le SMR dans son appréciation du 6 mars 2025, ne peuvent être écartées et jettent un doute insurmontable sur la fiabilité et la pertinence des constatations effectuées par le SMR en décembre 2025. Conformément à la jurisprudence citée supra sous chiffre 3.8, la divergence manifeste entre l’avis du SMR et les appréciations des médecins traitants aurait dû conduire l’intimé à mandater une expertise pluridisciplinaire. 7. 7.1 Ce point étant resté non instruit, jusqu'ici, la décision sera annulée et la cause sera renvoyée à l’intimé afin qu’il mette en œuvre une expertise pluridisciplinaire, comprenant, à tout le moins, un volet rhumatologique, un volet psychiatrique et un volet neurologique, puis qu’il prenne une nouvelle décision.</w:t>
      </w:r>
    </w:p>
    <w:p>
      <w:r>
        <w:t>A/99/2026 - 15/16 - 7.2 La recourante, assistée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 12 septembre 1985 – LPA ; RS E 5 10 ; art. 6 du règlement sur les frais, émoluments et indemnités en procédure administrative du 30 juillet 1986 ; RFPA - RS E 5 10.03). 7.3 Étant donné que, depuis le 1er juillet 2006, la procédure n'est plus gratuite (art. 69 al. 1bis LAI), au vu du sort du recours, il y a lieu de condamner l'intimé au paiement d'un émolument de CHF 200.-.</w:t>
      </w:r>
    </w:p>
    <w:p>
      <w:r>
        <w:t>A/99/2026 - 16/16 -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