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ATAS/236/2025 vom 4. April 2025</w:t>
      </w:r>
    </w:p>
    <w:p>
      <w:r>
        <w:t>GE Cour de justice, 2025-04-04, FR</w:t>
      </w:r>
    </w:p>
    <w:p>
      <w:r>
        <w:rPr>
          <w:b/>
        </w:rPr>
        <w:t xml:space="preserve">Quelle: </w:t>
      </w:r>
      <w:r>
        <w:t>https://mcp.opencaselaw.ch/entscheid/ge_gerichte_ATAS_236_2025</w:t>
      </w:r>
    </w:p>
    <w:p>
      <w:r>
        <w:t>FR: GE_GERICHTE ATAS/236/2025 du 4 avril 2025</w:t>
      </w:r>
    </w:p>
    <w:p>
      <w:r>
        <w:t>IT: GE_GERICHTE ATAS/236/2025 del 4 aprile 2025</w:t>
      </w:r>
    </w:p>
    <w:p>
      <w:pPr>
        <w:pStyle w:val="Heading2"/>
      </w:pPr>
      <w:r>
        <w:t>Erwägungen</w:t>
      </w:r>
    </w:p>
    <w:p>
      <w:r>
        <w:rPr>
          <w:b/>
        </w:rPr>
        <w:t>E. 12</w:t>
      </w:r>
    </w:p>
    <w:p>
      <w:r>
        <w:t>septembre 1985 [LPA; RS E 5 10] ; art. 6 du règlement sur les frais, émoluments et indemnités en procédure administrative du 30 juillet 1986 [RFPA - RS E 5 10.03]).</w:t>
      </w:r>
    </w:p>
    <w:p>
      <w:r>
        <w:t>A/684/2025 - 3/4 - Que les dépens sont fixés en fonction du nombre d’écritures, de l’importance et de la pertinence des écritures, de la complexité de l’affaire et du nombre d’audiences et d’actes d’instruction (ATAS/35/2025 ; ATAS/1211/2018 ; ATAS/334/2013) ; Qu’au vu de l’objet du litige et de l’activité déployée par le conseil de la recourante, qui a déposé un mémoire de recours de cinq pages et une écriture visant à informer la chambre de céans que le recours était devenu sans objet, le montant des dépens sera fixé à CHF 1'000.-. Que les frais de la procédure seront mis à la charge de l'intimé (art. 69 al. 1bis LAI).</w:t>
      </w:r>
    </w:p>
    <w:p>
      <w:r>
        <w:t>A/684/2025 - 4/4 -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