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ATAS/236/2021 vom 22. März 2021</w:t>
      </w:r>
    </w:p>
    <w:p>
      <w:r>
        <w:t>GE Cour de justice, 2021-03-22, FR</w:t>
      </w:r>
    </w:p>
    <w:p>
      <w:r>
        <w:rPr>
          <w:b/>
        </w:rPr>
        <w:t xml:space="preserve">Quelle: </w:t>
      </w:r>
      <w:r>
        <w:t>https://mcp.opencaselaw.ch/entscheid/ge_gerichte_ATAS_236_2021</w:t>
      </w:r>
    </w:p>
    <w:p>
      <w:r>
        <w:t>FR: GE_GERICHTE ATAS/236/2021 du 22 mars 2021</w:t>
      </w:r>
    </w:p>
    <w:p>
      <w:r>
        <w:t>IT: GE_GERICHTE ATAS/236/2021 del 22 marzo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w:t>
      </w:r>
    </w:p>
    <w:p>
      <w:r>
        <w:t>A/1897/2020 - 8/12 -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ATF 138 V 74 consid. 7; arrêt du Tribunal fédéral 8C_592/2007 du 10 août 2008 consid. 5.3; ATAS/815/2019 du 10 septembre 2019 consid. 11a).</w:t>
      </w:r>
    </w:p>
    <w:p>
      <w:r>
        <w:rPr>
          <w:b/>
        </w:rPr>
        <w:t>E. 7</w:t>
      </w:r>
    </w:p>
    <w:p>
      <w:r>
        <w:t>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b. D’après l’art. 4 al. 1 LPC, les personnes qui ont leur domicile et leur résidence habituelle en Suisse ont droit à des prestations complémentaires dès lors que, notamment, elles ont droit à certaines prestations d'assurances sociales, dont - comme en l’espèce - une rente de l’AVS (depuis 2008, et précédemment AI) (art. 4 al. 1 let. b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l’AVS (art. 2 al. 1 let. a LPCC).</w:t>
      </w:r>
    </w:p>
    <w:p>
      <w:r>
        <w:t>A/1897/2020 - 9/12 - c. Les PCF sont destinées à couvrir la part des dépenses reconnues qui excède les revenus déterminants (art. 9 al. 1 LPC). Tant les dépenses reconnues que les revenus déterminants sont définis par la loi. Sur le plan cantonal,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8</w:t>
      </w:r>
    </w:p>
    <w:p>
      <w:r>
        <w:t>Selon l'art. 27 de l'ordonnance sur les prestations complémentaires à l’assurance‑ vieillesse, survivants et invalidité du 15 janvier 1971 (OPC-AVS/AI – RS 831.301), les créances en restitution peuvent être compensées avec des prestations complémentaires échues ou avec des prestations échues dues en vertu de lois régissant d’autres assurances sociales, pour autant que ces lois autorisent la compensation. Selon le chiffre 4640.02 DPC, lors d'une compensation avec des PC échues, le minimum vital du droit des poursuites ne saurait être entamé. Une compensation est en outre exclue lorsque la différence entre le revenu brut et le minimum vital est inférieur au montant de la PC annuelle. Sur le plan genevois, l'art. 27 LPCC précise que les créances de l'État découlant de la présente loi peuvent être compensées, à due concurrence, avec les prestations échues. Selon la jurisprudence, la compensation de prestations (d'une assurance sociale) avec les créances des prestations complémentaires cantonales et des subsides cantonaux à l'assurance-maladie n'est pas expressément prévue par la loi et n'est donc pas possible faute d'accord exprès entre les parties (arrêt du Tribunal administratif fédéral C-3911/2012 du 1er mai 2014). Ainsi en va-t-il de même de la compensation de prestations d'aide sociale cantonales avec les créances de prestations complémentaires fédérales (arrêt cité par l'intimé).</w:t>
      </w:r>
    </w:p>
    <w:p>
      <w:r>
        <w:rPr>
          <w:b/>
        </w:rPr>
        <w:t>E. 9</w:t>
      </w:r>
    </w:p>
    <w:p>
      <w:r>
        <w:t>En l'espèce, on rappellera que la décision initiale du 11 décembre 2019 déterminait, pour la période litigieuse (octobre à décembre 2019) un droit rétroactif total pour cette période de CHF 9'981.- (3 x CHF 3'327.- [PCF + PCC]), dont CHF 2'607.- (3 x CHF 869.-) avaient déjà été versés, déterminant un solde de CHF 7'374.- en faveur du bénéficiaire. Cet arriéré a été ventilé comme suit : remboursement à Pro Senectute CHF 700.-; par compensation en faveur du SPC en remboursement d'une dette d'assistance CHF 774.- et CHF 4'201.- en remboursement d'une dette existante (PC), le solde restant CHF 1'699.- revenant au bénéficiaire. Force est de constater que ni sur opposition ni dans le cadre de son recours le bénéficiaire n'a</w:t>
      </w:r>
    </w:p>
    <w:p>
      <w:r>
        <w:t>A/1897/2020 - 10/12 - remis en cause les revenus retenus par le SPC dans ses calculs, et pas davantage les modalités de règlement de l'arriéré en sa faveur, la compensation opérée par l'intimé, pour partie en exécution d'un ordre de paiement que le bénéficiaire avait lui-même signé de CHF 700.- , les montants retenus par le SPC en compensation de dettes existantes (PC et aide sociale), et le paiement du solde de CHF 1'699.- en faveur du bénéficiaire. Sur opposition, le SPC, conformément à son obligation d'instruire d'office (art. 43 LPGA), constatant qu'il n'aurait pas dû opérer compensation pour la part des dettes existantes relevant des prestations d'aide sociale, cette compensation n'étant pas admise par la jurisprudence entre des PC et des prestations de droit cantonal (aide sociale en l'espèce), a corrigé son erreur, en faveur du bénéficiaire en le créditant d'un montant supplémentaire sur le rétroactif en sa faveur à concurrence de CHF 3'144.- qu'il lui a versé, ceci quand bien même l'opposant n'avait pas soulevé ce problème, et n'y avait encore moins conclu. Le SPC a toutefois précisé que, dans la mesure où le montant susmentionné n'était plus imputé sur les dettes existantes, celles-ci subsistaient, à due concurrence.</w:t>
      </w:r>
    </w:p>
    <w:p>
      <w:r>
        <w:rPr>
          <w:b/>
        </w:rPr>
        <w:t>E. 10</w:t>
      </w:r>
    </w:p>
    <w:p>
      <w:r>
        <w:t>Comme rappelé précédemment, dans le cadre de son opposition à la décision du</w:t>
      </w:r>
    </w:p>
    <w:p>
      <w:r>
        <w:rPr>
          <w:b/>
        </w:rPr>
        <w:t>E. 11</w:t>
      </w:r>
    </w:p>
    <w:p>
      <w:r>
        <w:t>Entièrement mal fondé, le recours doit être rejeté, dans la mesure où il est recevable.</w:t>
      </w:r>
    </w:p>
    <w:p>
      <w:r>
        <w:rPr>
          <w:b/>
        </w:rPr>
        <w:t>E. 12</w:t>
      </w:r>
    </w:p>
    <w:p>
      <w:r>
        <w:t>Pour le surplus, la procédure est gratuite.</w:t>
      </w:r>
    </w:p>
    <w:p>
      <w:r>
        <w:t>A/1897/2020 - 12/12 -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