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ATAS/236/2013 vom 5. März 2013</w:t>
      </w:r>
    </w:p>
    <w:p>
      <w:r>
        <w:t>GE Cour de justice, 2013-03-05, FR</w:t>
      </w:r>
    </w:p>
    <w:p>
      <w:r>
        <w:rPr>
          <w:b/>
        </w:rPr>
        <w:t xml:space="preserve">Quelle: </w:t>
      </w:r>
      <w:r>
        <w:t>https://mcp.opencaselaw.ch/entscheid/ge_gerichte_ATAS_236_2013</w:t>
      </w:r>
    </w:p>
    <w:p>
      <w:r>
        <w:t>FR: GE_GERICHTE ATAS/236/2013 du 5 mars 2013</w:t>
      </w:r>
    </w:p>
    <w:p>
      <w:r>
        <w:t>IT: GE_GERICHTE ATAS/236/2013 del 5 marzo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entrée en vigueur le 1er janvier 2003, s'appliquent à l'assurance-invalidité, à moins que la loi n'y déroge expressément.</w:t>
      </w:r>
    </w:p>
    <w:p>
      <w:r>
        <w:rPr>
          <w:b/>
        </w:rPr>
        <w:t>E. 3</w:t>
      </w:r>
    </w:p>
    <w:p>
      <w:r>
        <w:t>Sur le plan matériel, sont en principe applicables les règles de droit en vigueur au moment où les faits juridiquement déterminants se sont produits (ATF 130 V 229 consid. 1.1;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de la LAI en vigueur depuis le 1er janvier 2008 (5ème révision) jusqu'au 31 décembre 2011 et après le 1er janvier 2012 (révision 6a), en fonction des modifications de la LAI, dans la mesure de leur pertinence (ATF 130 V 445 et les références; voir également ATF 130 V 329). La 5ème révision de la LAI n'a toutefois pas amené de changements majeurs en matière de conditions d'octroi générales des mesures de réadaptation (cf. Message concernant la modification de la loi fédérale sur l'assurance-invalidité [5ème révision] du 22 juin 2005, FF 2005 4215, p. 4316). Quant à la révision 6a de la LAI, les nouvelles mesures qu'elle introduit ne concernent pas les conditions d'octroi générales des mesures de réadaptation (Message relatif à la modification de</w:t>
      </w:r>
    </w:p>
    <w:p>
      <w:r>
        <w:t>A/2765/2012 - 10/18 - la loi fédérale sur l’assurance-invalidité [6e révision, premier volet] du 24 février 2010, FF 2010 1647, p. 1648 à 1650).</w:t>
      </w:r>
    </w:p>
    <w:p>
      <w:r>
        <w:rPr>
          <w:b/>
        </w:rPr>
        <w:t>E. 4</w:t>
      </w:r>
    </w:p>
    <w:p>
      <w:r>
        <w:t>Interjeté dans les formes et le délai prescrits, le recours est recevable (art. 56 à 61 LPGA et 38 al. 4 let. b LPGA).</w:t>
      </w:r>
    </w:p>
    <w:p>
      <w:r>
        <w:rPr>
          <w:b/>
        </w:rPr>
        <w:t>E. 5</w:t>
      </w:r>
    </w:p>
    <w:p>
      <w:r>
        <w:t>Le litige porte sur le droit au recourant à des mesures de réadaptation professionnelle de l'assurance-invalidité, plus particulièrement sur sa capacité de travail dans une activité adaptée.</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w:t>
      </w:r>
    </w:p>
    <w:p>
      <w:r>
        <w:t>A/2765/2012 - 11/18 -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Se pose en premier lieu la question de savoir si l'assuré est invalide ou menacé d'une invalidité permanente (art. 28 al. 1er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A/2765/2012 - 12/18 - seule déterminante et ne sera prise en considération que dans la mesure où elle entraîne une incapacité de travail ayant des effets sur la capacité de gain de l’assuré (ATFA non publié I 654/00 du 9 avril 2001, consid. 1).</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160 consid. 1c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il est généralement enclin, en cas</w:t>
      </w:r>
    </w:p>
    <w:p>
      <w:r>
        <w:t>A/2765/2012 - 13/18 -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10</w:t>
      </w:r>
    </w:p>
    <w:p>
      <w:r>
        <w:t>En l'espèce, il résulte des rapports et divers documents médicaux figurant au dossier que le recourant souffre de lombalgies et de cervicalgies chroniques et d'une coxarthrose bilatérale. Les parties s'opposent sur l'aggravation de l'état de santé du recourant depuis la première décision de refus de prestations en 2001 et sur sa capacité de travail dans son activité habituelle de graveur.</w:t>
      </w:r>
    </w:p>
    <w:p>
      <w:r>
        <w:t>A/2765/2012 - 14/18 - La décision litigieuse est fondée sur l'examen clinique rhumatologique effectué auprès du SMR le 25 octobre 2011 par le Dr W____________. Il a posé les diagnostics suivants, indiquant qu'ils avaient des répercussions durables sur la capacité de travail: des cervicoscapulalgies et des dorso-lombalgies avec des cruralgies bilatérales à prédominance droite dans le cadre de troubles statiques et dégénératifs du rachis avec deux lipomes probables intra-duraux, extra-médullaires, à la hauteur de D12 et L4-L5, une coxarthrose bilatérale modérée et une discrète gonarthrose droite avec un status après déchirure partielle de l'insertion fémorale du ligament latéral interne. Il en a déduit de nombreuses limitations fonctionnelles, soit la nécessité de pouvoir alterner deux fois par heure la position assise et la position debout, d'éviter le soulèvement régulier de charges d'un poids excédant 5 kilogrammes, d'éviter le port régulier de charges d'un poids excédant 8 kilogrammes, de ne pas travailler en porte-à-faux statique prolongé du tronc, de ne pas s'exposer à des vibrations, de ne pas effectuer de mouvements répétés de flexion-extension de la nuque ou de rotation rapide de la tête, de ne pas maintenir de position prolongée en flexion ou extension de la nuque et d'éviter les génuflexions répétées, le franchissement régulier d'escabeaux, d'échelles ou d'escaliers, le maintien de la position debout de plus d'une heure, la marche de plus d'une heure et la marche sur terrain irrégulier. Selon lui, la capacité de travail du recourant est nulle dans l'activité de magasinier et de vendeur fruits et légumes mais de 100% dans l'activité habituelle de graveur ou tout autre activité adaptée aux limitations fonctionnelles constatées. La Cour de céans constate que ce rapport a été établi à la suite d'un examen rhumatologique du recourant, en tenant compte de ses plaintes, de son dossier médical et qu'il est fondé sur une anamnèse familiale, personnelle, scolaire, professionnelle, actuelle, par système et psychosociale détaillée. Il n'est toutefois que peu motivé. En effet, le Dr W____________ retient de nombreuse limitations fonctionnelles sans expliquer dans quel diagnostic elles trouvent leur origine. Malgré les limitations fonctionnelles retenues, il arrive à la conclusion que la capacité de travail du recourant dans son activité habituelle de graveur est totale, sans toutefois expliquer en quoi cette activité consiste, ni en quoi elle serait adaptée aux limitations fonctionnelles énoncées. Il sied encore de relever que le recourant n'a plus exercé son activité de graveur depuis 2010. Or, l'examinateur ne fait aucune mention de l'évolution ou du maintien de l'état de santé du recourant durant cette période. Au vu de ces éléments, on peut se demander si le rapport du Dr W____________ a pleine valeur probante. Cette question peut néanmoins demeurer ouverte dans la mesure où il est nécessaire de renvoyer la cause à l'intimé pour instructions complémentaires et nouvelle décision. En effet, dans un rapport du 19 septembre 2011, soit antérieur à l'examen réalisé par le Dr W____________, le Dr V____________ a constaté chez le recourant un interligne articulaire des deux hanches encore respecté mais une sclérose sous- chondrale très épaissie des deux côtés, signe indirect d'un début d'arthrose avec un</w:t>
      </w:r>
    </w:p>
    <w:p>
      <w:r>
        <w:t>A/2765/2012 - 15/18 - probable conflit fémoro-acétabulaire sur la vue axiale. Cliniquement, le recourant présentait une disbalance musculaire assez nette avec un moyen fessier qui était très faible des deux côtés. Si le Dr V____________ n'a pris aucune conclusion relative à la capacité de travail du recourant, il a toutefois mis en évidence une atteinte musculaire dont il n'est fait aucune mention dans le rapport du Dr W____________. Ainsi, le rapport de ce dernier est basé sur un dossier médical incomplet. Par conséquent, le rapport du Dr V____________ devra être communiqué au Dr W____________ afin que ce dernier puisse aborder l'état musculaire du recourant et compléter son appréciation de la situation. En outre, postérieurement à l'établissement du rapport du SMR du 5 décembre 2011, le Dr E____________ a, dans un rapport du 19 décembre 2011, relevé que la morphologie du cotyle et du fémur proximal du recourant pouvait favoriser un conflit fémoro-acétabulaire de type mixte pince et came. Il a constaté une lésion kystique sous chondrale du rebord latéral du cotyle droit, dégénérative, et de petits signes d'arthrose avec principalement une petite ostéophytose de la tête fémorale, ou une ossification du cotyle postéro-supérieur et du labrum latéral, des lésions dégénératives du labrum qui présentaient deux petites fissurations, l'une en antérieure et l'une en antéro-supérieure, avec érosions cartilagineuse en antéro- supérieur sur le cotyle et sur les deux berges articulaires postéro-inférieures. La capacité de travail du recourant n'a pas été abordée. Dans un courrier du 13 juin 2012 adressé au Dr E____________, le Dr F____________ confirme l'existence d'un conflit fémoro-acétabulaire associé à une lésion labrale des deux côtés mais également et d'une érosion cartilagineuse compatible avec une coxarthrose modérée. Il relève une grande souffrance du recourant, sans toutefois se prononcer sur l'existence de limitations fonctionnelles ou sur sa capacité de travail. Certes, on ne saurait reconnaître à ces deux documents une pleine valeur probante dans la mesure où ils ne satisfont que partiellement aux réquisits jurisprudentiels. Toutefois, les Dr E____________ et F____________ font des constatations médicales objectives dont le SMR n'a analysé ni la portée ni les éventuelles conséquences sur les limitations fonctionnelles du recourant et sur sa capacité de travail. Ces constatations ont été communiquées à l'OAI, puis au SMR, dans le cadre de la procédure contentieuse. Par avis du 3 août 2012, le Dr D____________ du SMR a considéré que le rapport du Dr E____________ confirmait une coxarthrose droite avec un possible conflit fémoro-acétabluaire, sans fournir d'indication sur la sévérité de l'atteinte et que les douleurs à la hanche dont se plaignait le recourant avaient été prises en compte dans les limitations fonctionnelles par l'examinateur. L'analyse du Dr D____________ est sommaire et incomplète dans la mesure où il n'aborde pas la lésion kystique, l'ostéophytose de la tête fémorale, l'ossification du cotyle postéro-supérieur et du</w:t>
      </w:r>
    </w:p>
    <w:p>
      <w:r>
        <w:t>A/2765/2012 - 16/18 - labrum latéral et les lésions dégénératives du labrum présentant deux petites fissurations, l'une en antérieure et l'une en antéro-supérieure, avec érosions cartilagineuse en antéro-supérieur sur le cotyle et sur les deux berges articulaires postéro-inférieures. De plus, il n'indique pas en quoi ces différentes atteintes modifient ou non les limitations fonctionnelles et la capacité de travail du recourant. Par avis du 21 septembre 2012, le Dr D____________ a considéré que le Dr F____________ ne faisait que retenir les diagnostics déjà évoqués, soit une pathologie lombaire et un conflit fémoro-acétabulaire bilatéral associé à une coxarthrose qualifiée de modérée. Son examen clinique ne présentait pas de signe de gravité, en particulier une diminution du tonus musculaire des deux membres inférieurs. La Cour de céans ne comprend pas l'appréciation du Dr D____________ dans la mesure où, si le Dr F____________ a constaté l'existence d'un conflit fémoro-acétabulaire, tel n'a pas été le cas du Dr W____________. En outre, si la diminution du tonus musculaire n'a effectivement pas été abordée par le Dr F____________, elle a en revanche été constatée par le Dr V____________ dans son rapport du 19 septembre 2011. Or la diminution du tonus musculaire est considérée comme un signe de gravité par le Dr D____________. Il est dès lors incompréhensible que le Dr D____________ n'ait pas abordé cette question de manière détaillée, ni exposé si elle portait ou non à conséquence, sous l'angle des limitations fonctionnelles et de la capacité de travail du recourant. Par ailleurs, le Dr D____________ relève que les plaintes du recourant ont été prises en compte dans le cadre du rapport du Dr W____________ et de la détermination de ses limitations fonctionnelles. Toutefois, ces plaintes ont été prises en considération à la lumière des diagnostics retenus par le W____________. Or, les constatations des Drs V____________, E____________ et F____________ sont susceptibles d'apporter un nouvel éclairage à l'appréciation de la situation et doivent être intégrées à l'analyse du Dr W____________. Par conséquent, la cause doit être renvoyée à l'intimé afin que celui-ci transmette le dossier au Dr W____________. Ce dernier devra établir si les constatations objectives des Drs V____________, E____________ et F____________ sont susceptibles de modifier les conclusions de son rapport. Il devra procéder à une analyse détaillée des nouveaux éléments qui lui seront soumis et exposer en quoi ils influent ou non sur les limitations fonctionnelles et sur la capacité de travail du recourant. De plus, le Dr W____________ devra intégrer à son rapport une analyse détaillée de l'évolution de l'état de santé du recourant depuis 2010, lorsque celui-ci exerçait encore une activité de graveur. En dernier lieu, un stage d'aptitude professionnelle devra être réalisé afin d'établir si les limitations fonctionnelles du recourant sont compatible avec l'activité de</w:t>
      </w:r>
    </w:p>
    <w:p>
      <w:r>
        <w:t>A/2765/2012 - 17/18 - graveur, et de déterminer quelle autre activité pourrait être raisonnablement exigée de lui.</w:t>
      </w:r>
    </w:p>
    <w:p>
      <w:r>
        <w:rPr>
          <w:b/>
        </w:rPr>
        <w:t>E. 11</w:t>
      </w:r>
    </w:p>
    <w:p>
      <w:r>
        <w:t>Au vu de ce qui précède, le recours est partiellement admis.</w:t>
      </w:r>
    </w:p>
    <w:p>
      <w:r>
        <w:rPr>
          <w:b/>
        </w:rPr>
        <w:t>E. 12</w:t>
      </w:r>
    </w:p>
    <w:p>
      <w:r>
        <w:t>Un émolument de 200 fr. est mis à la charge de l'intimé (art. 69 al. 1bis LAI).</w:t>
      </w:r>
    </w:p>
    <w:p>
      <w:r>
        <w:t>A/2765/2012 - 18/18 -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