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ATAS/236/2012 vom 5. März 2012</w:t>
      </w:r>
    </w:p>
    <w:p>
      <w:r>
        <w:t>GE Cour de justice, 2012-03-05, FR</w:t>
      </w:r>
    </w:p>
    <w:p>
      <w:r>
        <w:rPr>
          <w:b/>
        </w:rPr>
        <w:t xml:space="preserve">Quelle: </w:t>
      </w:r>
      <w:r>
        <w:t>https://mcp.opencaselaw.ch/entscheid/ge_gerichte_ATAS_236_2012</w:t>
      </w:r>
    </w:p>
    <w:p>
      <w:r>
        <w:t>FR: GE_GERICHTE ATAS/236/2012 du 5 mars 2012</w:t>
      </w:r>
    </w:p>
    <w:p>
      <w:r>
        <w:t>IT: GE_GERICHTE ATAS/236/2012 del 5 marzo 2012</w:t>
      </w:r>
    </w:p>
    <w:p>
      <w:pPr>
        <w:pStyle w:val="Heading2"/>
      </w:pPr>
      <w:r>
        <w:t>Regeste</w:t>
      </w:r>
    </w:p>
    <w:p>
      <w:r>
        <w:t>Résumé: En matière de prévoyance professionnelle, si - comme en l'espèce - le juge du divorce a ordonné le partage par moitié des avoirs de prévoyance d'un ex-époux uniquement, en partant du principe que l'autre n'avait pas d'avoir de prévoyance, le juge des assurances sociales doit tenir compte de tous les avoirs de prévoyance des ex-époux, dans l'application de la règle de partage fixée par le juge du divorce et exécutera ensuite le partage prévu avec, cas échéant, des prestations plus importantes que celles prises en considération dans la procédure de divorce.</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Il résulte du système prévu par le législateur à l'art. 142 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w:t>
      </w:r>
    </w:p>
    <w:p>
      <w:r>
        <w:t>A/2931/2011 - 5/7 -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S'il dispose de sérieux indices que l'un ou l'autre des conjoints a droit à des expectatives de prévoyance qui n'ont pas été prises en compte par le juge du divorce lorsque celui-ci a fixé la clé de répartition du partage au sens de l'art. 122 CC, le juge administratif doit instruire ce point. Il exécutera ensuite le partage prévu avec, cas échéant, des prestations plus importantes que celles prises en considération dans la procédure de divorce. (ATF 133 V 147).</w:t>
      </w:r>
    </w:p>
    <w:p>
      <w:r>
        <w:rPr>
          <w:b/>
        </w:rPr>
        <w:t>E. 4</w:t>
      </w:r>
    </w:p>
    <w:p>
      <w:r>
        <w:t>En l’espèce, le juge de première instance a ordonné le partage par moitié des avoirs de prévoyance de la demanderesse uniquement, en partant du principe que le demandeur n'avait pas d'avoir de prévoyance. Conformément à la jurisprudence précitée (ATF 133 V 147), le juge des assurances sociales doit tenir compte de tous les avoirs de prévoyance des ex-époux, dans l'application de la règle de partage fixée par le juge du divorce, soit en l'espèce un partage par moitié de sorte qu'il sera également tenu compte des avoirs de prévoyance du demandeur. Les dates pertinentes sont, d’une part, celle du mariage, le 2 septembre 1994, d’autre part le 12 avril 2011, date à laquelle le jugement de divorce est devenu exécutoire. Selon les documents produits, la prestation acquise pendant le mariage par M. B___________ est de 4'793 fr. 28 (soit 833 fr. 93 auprès de la FONDATION INSTUTUTION SUPPLETIVE LPP et 3'959 fr. 35 auprès de la FREIZÜGIGKEITSSTIFTUNG DER ZÜRCHER KANTONALBANK) tandis que celle acquise par Mme B___________ est de 8'676 fr. 77 (soit 362 fr. 50 auprès de GASTROSOCIAL CAISSE DE PENSION, 2'392 fr. 52 auprès de la FONDATION INSTITUTION SUPPLETIVE LPP et 5'921 fr. 75 auprès de HOTELA FONDS DE PREVOYANCE), les intérêts ayant déjà été calculés par les institutions de prévoyance défenderesses. Ainsi M. B___________ doit à son ex-épouse le montant de 2'396 fr. 65 (4'793 fr. 28 : 2) et celle-ci lui doit le montant de 4'338 fr. 40 (8'676 fr. 77 : 2) de sorte que c’est Mme B___________ qui doit à M. B___________ le montant de 1'941 fr. 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w:t>
      </w:r>
    </w:p>
    <w:p>
      <w:r>
        <w:t>A/2931/2011 - 6/7 -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A/2931/2011 - 7/7 -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