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ATAS/236/2010 vom 29. Oktober 2009</w:t>
      </w:r>
    </w:p>
    <w:p>
      <w:r>
        <w:t>GE Cour de justice, 2009-10-29, FR</w:t>
      </w:r>
    </w:p>
    <w:p>
      <w:r>
        <w:rPr>
          <w:b/>
        </w:rPr>
        <w:t xml:space="preserve">Quelle: </w:t>
      </w:r>
      <w:r>
        <w:t>https://mcp.opencaselaw.ch/entscheid/ge_gerichte_ATAS_236_2010</w:t>
      </w:r>
    </w:p>
    <w:p>
      <w:r>
        <w:t>FR: GE_GERICHTE ATAS/236/2010 du 29 octobre 2009</w:t>
      </w:r>
    </w:p>
    <w:p>
      <w:r>
        <w:t>IT: GE_GERICHTE ATAS/236/2010 del 29 ottobre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8 octobre 2001, d’autre part le 4 décembre 2009, date à laquelle le jugement de divorce est devenu exécutoire. Le demandeur allègue toutefois que le partage est devenu impossible du fait qu'il a déposé une demande de prestations AI le 2 avril 2009.</w:t>
      </w:r>
    </w:p>
    <w:p>
      <w:r>
        <w:rPr>
          <w:b/>
        </w:rPr>
        <w:t>E. 4</w:t>
      </w:r>
    </w:p>
    <w:p>
      <w:r>
        <w:t>Le partage de la prestation de sortie n'est plus possible lorsqu’un cas de prévoyance (invalidité, décès, vieillesse) est survenu pour la personne assurée avant le divorce :</w:t>
      </w:r>
    </w:p>
    <w:p>
      <w:r>
        <w:t>A/4484/2009 4/7 conformément à l’art. 122 al. 1 CC, aucun cas de prévoyance ne doit être survenu pour l’un ou l’autre des conjoints. Le législateur a exclu le partage des avoirs de prévoyance lorsqu'un cas de prévoyance est survenu, essentiellement pour des motifs pratiques. Par la survenance d'un cas de prévoyance au sens de la disposition précitée, il faut entendre la naissance d'un droit concret à des prestations de la prévoyance professionnelle, qui rend impossible le partage des avoirs de prévoyance sur la base des prestations servies (dans ce sens, KIESER, Ehescheidung und Eintritt des Vorsorgefalles der beruflichen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(Thomas SUTTER/Dieter FREIBURGHAUS, Kommentar zum neuen Scheidungsrecht, ad art. 124 n° 1 et 3; ad art. 122/141-142 n° 13 ss). En revanche,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 FREIBURGHAUS, op. cit., ad art. 124, n° 3 ; ATFA du 30 janvier 2004, cause B 19/03). En vertu du système des art. 122ss CC, les règles applicables sont différentes selon que le cas de prévoyance est survenu ou non. Un problème concret se pose lorsqu’un cas de prévoyance survient ou risque de survenir en cours de procédure. Cette situation peut se produire tant devant le juge du divorce que devant le juge des assurances. Comme il est fréquent que le cas d’invalidité soit admis avec effet rétroactif, il est également possible que le partage des prestations de sortie entre en force à l’égard de l’institution de prévoyance et qu’ultérieurement, l’institution de prévoyance admette que le cas de prévoyance est survenu avant l’entrée en force. La loi ne contient aucune disposition réglant expressément ces situations. (J-A. SCHNEIDER / C. BRUCHEZ « La prévoyance professionnelle et le divorce » in Le nouveau droit du divorce, p. 255). Nonobstant les difficultés énoncées ci-dessus, la loi prévoit clairement l’impossibilité de partager les avoirs LPP dans le cas uniquement de la survenance effective du cas de prévoyance.</w:t>
      </w:r>
    </w:p>
    <w:p>
      <w:r>
        <w:rPr>
          <w:b/>
        </w:rPr>
        <w:t>E. 5</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w:t>
      </w:r>
    </w:p>
    <w:p>
      <w:r>
        <w:t>A/4484/2009 5/7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De plus, selon le Tribunal fédéral des assurances,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(ATFA non publié du 2 février 2006, B 124/04, consid. 4.4.2). Selon la doctrine relative à l'art. 122 CC qui s'applique par analogie à l'art. 124 CC, concernant la survenance du cas de prévoyance "invalidité", il y a deux moments à prendre en considération : celui de la naissance de l'incapacité de travail qui conduit en dernier lieu à l'invalidité et à la rente (théorie de la cause) et celui lors duquel, pour la première fois, un droit à une rente peut être accordé (théorie de l'entrée). La théorie de la cause s'applique à la détermination de l'institution de prévoyance tenue à prestations (art. 23 LPP) et au droit à la prestation de sortie (art. 2 al. 1, art. 3 al. 2 LFLP). Quant au cas de prévoyance ressortant des art. 122 ss CC, on conçoit plus aisément de déterminer le moment de la survenance du risque "invalidité" selon la théorie de l'entrée. Outre des réflexions de praticabilité, parle particulièrement dans ce sens la possibilité de rachat prévue par l'art. 22c LFLP lors du partage des prestations de sortie dans le cadre d'un divorce. La disposition de l'art. 3 al. 2 LFLP se basant sur la théorie de la cause (restitution de la prestation de sortie) ne revêt dès lors qu'une signification minime (KIESER, Ehescheidung und Eintritt des Vorsorgefalles der beruflichen Vorsorge- Hinweise für die Praxis, PJA 2001 p. 157). En définitive, tant la jurisprudence qui parle de naissance d'un droit concret à des prestations de la prévoyance professionnelle que la doctrine qui se réfère à la théorie de l'entrée sont unanimes pour admettre que la survenance du cas de prévoyance au sens des art. 122 ss CC existe dès que l'assuré reçoit concrètement une rente de l'assurance-invalidité. Par survenance d'un cas de prévoyance au sens de l'art. 122 al. 1 CC, la jurisprudence entend la naissance d'un droit concret à des prestations de la prévoyance professionnelle, qui rend impossible le partage des avoirs de prévoyance à la base des prestations servies (RSAS 2004 p. 572; Kieser, Ehescheidung und Eintritt des Vorsorgefalles der beruflichen Vorsorge - Hinweise für die Praxis, PJA 2001 p. 155). Selon les art. 23 et 24 al. 1 LPP (dans leur teneur en vigueur jusqu'au 31 décembre 2004), ont droit à des prestations d'invalidité les personnes qui sont invalides à raison de 50 pour cent au moins au sens de l'AI, et qui étaient assurées lorsqu'est</w:t>
      </w:r>
    </w:p>
    <w:p>
      <w:r>
        <w:t>A/4484/2009 6/7 survenue l'incapacité de travail dont la cause est à l'origine de l'invalidité. L'assuré a droit à une rente entière d'invalidité s'il est invalide à raison des deux tiers au moins, au sens de l'AI, et à une demi rente s'il est invalide à raison de 50 pour cent au moins. Conformément à l'art. 26 al. 1 LPP, les dispositions de la loi fédérale du 19 juin 1959 sur l'assurance-invalidité (art. 29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Celui-ci est établi par la décision formelle des organes compétents de l'assurance-invalidité et a force contraignante pour l'institution de prévoyance; seule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et où la décision apparaîtrait manifestement erronée (ATF 126 V 308 consid. 1 p. 310).</w:t>
      </w:r>
    </w:p>
    <w:p>
      <w:r>
        <w:rPr>
          <w:b/>
        </w:rPr>
        <w:t>E. 6</w:t>
      </w:r>
    </w:p>
    <w:p>
      <w:r>
        <w:t>En l'espèce, force est de constater que l'Office de l'assurance-invalidité du canton de Genève n'a pas encore rendu de décision, de sorte que l'on ne saurait parler encore de naissance d'un droit concret à des prestations de l'assurance-invalidité. Il y a dès lors lieu de procéder au partage prévu par le juge du divorce.</w:t>
      </w:r>
    </w:p>
    <w:p>
      <w:r>
        <w:rPr>
          <w:b/>
        </w:rPr>
        <w:t>E. 7</w:t>
      </w:r>
    </w:p>
    <w:p>
      <w:r>
        <w:t>Selon les documents produits, la prestation acquise pendant le mariage par le demandeur est de 58'331 fr. 45, soit 98'132 fr. 90 moins 39'801 fr. 45, les intérêts ayant déjà été calculés par l'institution de prévoyance défenderesse. La demanderesse n'a quant à elle acquis aucun avoir LPP. Ainsi le demandeur doit à son ex-épouse le montant de 29'165 fr. 70 (58'331 fr. 45 : 2).</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