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ATAS/235/2025 vom 3. April 2025</w:t>
      </w:r>
    </w:p>
    <w:p>
      <w:r>
        <w:t>GE Cour de justice, 2025-04-03, FR</w:t>
      </w:r>
    </w:p>
    <w:p>
      <w:r>
        <w:rPr>
          <w:b/>
        </w:rPr>
        <w:t xml:space="preserve">Quelle: </w:t>
      </w:r>
      <w:r>
        <w:t>https://mcp.opencaselaw.ch/entscheid/ge_gerichte_ATAS_235_2025</w:t>
      </w:r>
    </w:p>
    <w:p>
      <w:r>
        <w:t>FR: GE_GERICHTE ATAS/235/2025 du 3 avril 2025</w:t>
      </w:r>
    </w:p>
    <w:p>
      <w:r>
        <w:t>IT: GE_GERICHTE ATAS/235/2025 del 3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t>A/3090/2024 - 11/20 -</w:t>
      </w:r>
    </w:p>
    <w:p>
      <w:r>
        <w:rPr>
          <w:b/>
        </w:rPr>
        <w:t>E. 2</w:t>
      </w:r>
    </w:p>
    <w:p>
      <w:r>
        <w:t>Le litige porte sur le taux d'invalidité de la recourante, singulièrement sur l'évaluation de ses empêchements dans la sphère professionnelle, sa capacité de travail dans la sphère ménagère n'étant pas contestée.</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fait suite à une nouvelle demande de prestations déposée en date du 28 août 2023 et refuse l’octroi d’une rente, dont le droit serait né postérieurement au 31 décembre 2021, de sorte que les dispositions légales applicables seront citées dans leur nouvelle teneur.</w:t>
      </w:r>
    </w:p>
    <w:p>
      <w:r>
        <w:rPr>
          <w:b/>
        </w:rPr>
        <w:t>E. 4.1</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En vertu de l'art. 28 LAI, la quotité de la rente est fixée en pourcentage d’une rente entière (al. 1). Pour un taux d’invalidité compris entre 50 et 69%, la quotité de la rente correspond au taux d’invalidité (al. 2).</w:t>
      </w:r>
    </w:p>
    <w:p>
      <w:r>
        <w:rPr>
          <w:b/>
        </w:rPr>
        <w:t>E. 4.2</w:t>
      </w:r>
    </w:p>
    <w:p>
      <w:r>
        <w:t>L'art. 29 al. 1 LAI énonce que le droit à la rente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 Conformément à l'art. 29 al. 3 LPGA, la date à laquelle l'annonce a été remise à la Poste ou déposée auprès de l'organe est déterminante s'agissant du moment auquel les prestations ont été faites valoir (Guy LONGCHAMP, in Commentaire romand de la loi sur la partie générale des assurances sociales, 2018, n. 28 et 40 ad art. 29 LPGA).</w:t>
      </w:r>
    </w:p>
    <w:p>
      <w:r>
        <w:rPr>
          <w:b/>
        </w:rPr>
        <w:t>E. 4.3</w:t>
      </w:r>
    </w:p>
    <w:p>
      <w:r>
        <w:t>Aux termes de l'art. 28a al. 1 LAI, l’évaluation du taux d’invalidité des assurés exerçant une activité lucrative est régie par l’art. 16 LPGA. Le taux d’invalidité de l’assuré qui n’exerce pas d’activité lucrative, qui accomplit ses travaux habituels et dont on ne peut raisonnablement exiger qu’il entreprenne une activité lucrative</w:t>
      </w:r>
    </w:p>
    <w:p>
      <w:r>
        <w:t>A/3090/2024 - 12/20 - est quant à lui évalué, en dérogation à l’art. 16 LPGA, en fonction de son incapacité à accomplir ses travaux habituels (art. 28a al. 2 LAI). Enfin, selon l'art. 28a al. 3 LAI, lorsque l’assuré exerce une activité lucrative à temps partiel, le taux d’invalidité pour cette activité est évalué selon l’art. 16 LPGA. S’il accomplit ses travaux habituels, le taux d’invalidité pour cette activité est fixé selon l'al. 2. Dans ce cas, les parts respectives de l’activité lucrative et de l’accomplissement des travaux habituels sont déterminées ; le taux d’invalidité est calculé dans les deux domaines d’activité.</w:t>
      </w:r>
    </w:p>
    <w:p>
      <w:r>
        <w:rPr>
          <w:b/>
        </w:rPr>
        <w:t>E. 4.4</w:t>
      </w:r>
    </w:p>
    <w:p>
      <w:r>
        <w:t>En l’occurrence, la répartition entre taux d’activité dans la sphère professionnelle (80%) et dans la sphère ménagère (20%) n’est pas contestée, pas plus que les résultats de l’enquête ménagère effectuée au domicile de l’assurée qui conclut que cette dernière bénéficie d’une capacité de 100%, dans la sphère ménagère.</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w:t>
      </w:r>
    </w:p>
    <w:p>
      <w:r>
        <w:t>A/3090/2024 - 13/20 -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Dans un arrêt du 17 novembre 2021, le Tribunal fédéral a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6.1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w:t>
      </w:r>
    </w:p>
    <w:p>
      <w:r>
        <w:t>A/3090/2024 - 14/20 -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w:t>
      </w:r>
    </w:p>
    <w:p>
      <w:r>
        <w:rPr>
          <w:b/>
        </w:rPr>
        <w:t>E. 6.2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A/3090/2024 - 15/20 -</w:t>
      </w:r>
    </w:p>
    <w:p>
      <w:r>
        <w:rPr>
          <w:b/>
        </w:rPr>
        <w:t>E. 6.4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reconnaitre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8</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w:t>
      </w:r>
    </w:p>
    <w:p>
      <w:r>
        <w:rPr>
          <w:b/>
        </w:rPr>
        <w:t>E. 9</w:t>
      </w:r>
    </w:p>
    <w:p>
      <w:r>
        <w:t>En l’espèce, la recourante allègue souffrir de troubles psychiatriques et somatiques, ces derniers se manifestant sous la forme d’une méniscopathie du ménisque interne droit, depuis janvier 2024 et d’une tendinopathie sous la forme d’une tendinite du petit fessier depuis, à tout le moins, août 2023. Elle fait grief à l’intimé de n’avoir pas ordonné une expertise pluridisciplinaire psychiatrique, rhumatologique et neurologique.</w:t>
      </w:r>
    </w:p>
    <w:p>
      <w:r>
        <w:t>A/3090/2024 - 16/20 - L’OAI, de son côté, estime qu’une éventuelle atteinte de nature psychiatrique n’est pas documentée, le certificat médical du Dr K______ étant postérieur à la décision rendue. S’agissant des atteintes de nature somatique, l’OAI se fonde sur le dernier rapport médical du 25 octobre 2023 délivré par le Dr E______.</w:t>
      </w:r>
    </w:p>
    <w:p>
      <w:r>
        <w:rPr>
          <w:b/>
        </w:rPr>
        <w:t>E. 9.1</w:t>
      </w:r>
    </w:p>
    <w:p>
      <w:r>
        <w:t>S’agissant des troubles psychiatriques, la chambre de céans a interpellé la recourante, par courrier du 22 janvier 2025, et a attiré son attention sur l’absence de pièces au dossier pouvant documenter de manière probante l’existence d’atteintes psychiatriques récentes et l’a invitée à transmettre d’éventuelles pièces médicales pouvant confirmer ses allégations. Le recourante a réagi en communiquant un rapport médical du Dr K______, daté du 8 novembre 2024 et qui mentionne que la patiente a été suivie, de février 2016 à février 2018, pour trouble dépressif par lui-même et par le Dr B______ et décrit une patiente « qui prétexte une rechute dépressive depuis septembre 2024 suite à des tentatives de suicide de sa fille ». Dans la rubrique concernant les diagnostics avec répercussion durable sur la capacité de travail, le psychiatre mentionne un trouble dépressif récurrent sévère qui existerait depuis le 19 septembre 2024. D’emblée, on peut constater que l’éventuelle rechute mentionnée par le psychiatre traitant aurait été déclenchée par un événement postérieur à la décision litigieuse, à savoir une tentative de suicide de sa fille, sans lien avec les précédents troubles psychiatriques allégués par la recourante et instruits par l’OAI. Partant, le trouble psychiatrique éventuel étant postérieur à la décision querellée et n’étant pas dans un rapport de connexité avec les troubles allégués dans le cadre de l’instruction du cas, la chambre de céans n’examinera pas ce grief.</w:t>
      </w:r>
    </w:p>
    <w:p>
      <w:r>
        <w:rPr>
          <w:b/>
        </w:rPr>
        <w:t>E. 9.2</w:t>
      </w:r>
    </w:p>
    <w:p>
      <w:r>
        <w:t>En ce qui concerne les troubles somatiques, le médecin traitant de la recourante, la généraliste H______, précise, dans son certificat médical du 25 octobre 2023, qu’il lui est difficile d’évaluer l’évolution et les modifications de l’état de santé de la patiente dès lors qu’elle ne suit pas cette dernière depuis longtemps, mais mentionne que celle-ci considère qu’il n’y a pas eu de bénéfices suite à l’opération neurochirurgicale de 2023. Au vu des douleurs lombaires, elle considère qu’une amélioration de l’état de santé à court et moyen terme est peu probable, mais ne peut pas se prononcer sur la capacité de travail dans l’activité habituelle ou dans une activité adaptée, en raison du fait qu’elle suit la patiente depuis peu de temps. Elle relève, toutefois, que les emplois occupés jusqu’à présent se sont révélés inadaptés car « trop physiques » et mentionne comme limitations fonctionnelles les difficultés lors de la station debout ou assise prolongée et des périodes d’exacerbation douloureuse limitant fortement la mobilisation. Le neurologue E______, dans son certificat médical également daté du 25 octobre 2023, mentionne une capacité de travail de 100% en tenant compte des limitations fonctionnelles qui sont l’interdiction de port de charges de plus de 10 kg et du travail en position accroupie. Il explique également avoir pratiqué une décompression du canal lombaire étroit, en date du 25 novembre 2022, ce dernier</w:t>
      </w:r>
    </w:p>
    <w:p>
      <w:r>
        <w:t>A/3090/2024 - 17/20 - s’étant amélioré par la suite et précise n’avoir plus revu la patiente après le 30 janvier 2023. Selon lui, les diagnostics avec répercussion sur la capacité de travail sont la maladie des segments adjacents avec sténoses sévères L3-L4 et L5-S1, avec une comorbidité, sous la forme d’une tendinite insertionnelle du petit fessier des deux côtés, sans signe de fissuration intra tendineuse et associée à une minime bursite pertrochantérienne bilatérale. Auparavant, un autre neurologue, le Dr G______, a pratiqué un examen ENMG en date du 16 mars 2023 et confirme, selon le courrier du même jour adressé à la Dre H______, que l’examen des membres inférieurs montre, comme seule anomalie à l’ENMG à l’aiguille, des signes de dénervation et réinnervation chronique dans le quadriceps gauche et conclut à l’existence d’éléments objectifs d’une atteinte nerveuse périphérique, radiculaire, d’importance modérée. Dans son rapport de consultation ambulatoire du 29 janvier 2024, l’orthopédiste I______, note, comme diagnostic principal, une lésion radiaire de la corne postérieure du ménisque interne sur genu valgum à droite. Il déconseille la chirurgie et préconise un traitement conservateur avec de la physiothérapie et un suivi auprès des confrères rééducateurs à Beau-Séjour.</w:t>
      </w:r>
    </w:p>
    <w:p>
      <w:r>
        <w:rPr>
          <w:b/>
        </w:rPr>
        <w:t>E. 9.3</w:t>
      </w:r>
    </w:p>
    <w:p>
      <w:r>
        <w:t>Le SMR, dans son rapport du 28 mai 2024 précédant la décision litigieuse, a pris en compte le certificat du Dr I______ et considéré que la situation était stabilisée dès le 29 janvier 2024 dès lors qu’une intervention chirurgicale n’était pas envisagée et que le traitement conservateur était annoncé comme n’améliorant pas la situation. En se fondant sur ces éléments, le SMR a considéré que l’activité habituelle de nettoyeuse n’était pas adaptée mais que dans une activité adaptée, la capacité de travail était de 100%, dont il fallait déduire une baisse de rendement de 20% en lien avec les douleurs et la nécessité de changer de position assise et debout dans des activités qui respectaient les limitations fonctionnelles. Il a ainsi retenu une capacité de travail de 80% dans une activité adaptée et ceci dès le 29 janvier 2024. Il a considéré que la recourante pouvait exercer une activité sédentaire avec la possibilité d’alterner les positions assise/debout, pas de mouvements de rotation répétitifs, pas de marche prolongée, pas de position en porte-à-faux et flexion-extension du rachis, pas de travail à genoux et/ou accroupie, le port de charges de 10 kg occasionnel sur les deux membres supérieurs et de 4 kg pour des ports de charges répétés.</w:t>
      </w:r>
    </w:p>
    <w:p>
      <w:r>
        <w:rPr>
          <w:b/>
        </w:rPr>
        <w:t>E. 9.4</w:t>
      </w:r>
    </w:p>
    <w:p>
      <w:r>
        <w:t>L’examen des certificats médicaux fournis par les médecins traitants ne permet pas de retenir une capacité de travail réduite dans une activité adaptée. La Dre H______ estime ne pas pouvoir se prononcer, en raison de la brièveté du suivi, le Dr E______ retient une capacité de travail de 100%, le Dr G______ ne se prononce pas sur la capacité de travail, pas plus que le Dr I______. La chambre de céans considère que les limitations fonctionnelles retenues par le SMR de l’intimé correspondent à celles retenues par les médecins traitants de la recourante. S’y ajoute le fait que le SMR a pris en compte les douleurs et la</w:t>
      </w:r>
    </w:p>
    <w:p>
      <w:r>
        <w:t>A/3090/2024 - 18/20 - nécessité de changer de position et en a déduit une baisse de rendement de 20%, ce qui n’est pas criticable. Il sied de rappeler que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Aucun document médical communiqué par la recourante n’est de nature à infirmer l’appréciation du SMR de l’intimé. Ainsi, et contrairement à ce qu’allègue la recourante dans son courrier du 24 janvier 2025, les atteintes à la santé ont été dûment examinées par l’intimé, qui a mentionné que le Dr E______ avait estimé la capacité de travail à 100%, en dépit de la présence d’une tendinite et que les troubles du ménisque mentionnés par le Dr I______ avaient été pris en compte par le SMR, notamment pour en déduire une perte de rendement de 20% aboutissant à une capacité de travail dans une activité adaptée de 80%. À l’aune de ces éléments, la chambre de céans considère que l’instruction a été menée de manière complète et que la capacité de travail de la recourante, dans une activité adaptée, a été correctement estimée par l’intimé.</w:t>
      </w:r>
    </w:p>
    <w:p>
      <w:r>
        <w:rPr>
          <w:b/>
        </w:rPr>
        <w:t>E. 9.5</w:t>
      </w:r>
    </w:p>
    <w:p>
      <w:r>
        <w:t>S’agissant du calcul du revenu avec et sans invalidité, il n’est pas critiqué par la recourante. L’intimé s’est fondé sur le tableau idoine de l’ESS, avec une indexation selon l’indice suisse nominal des salaires pour l’année 2024, qui aboutit à un revenu sans invalidité de CHF 54'222.- à 100%. Puis, en tenant compte de la diminution de rendement de 20%, à quoi s’ajoute une réduction forfaitaire de 10% (abattement de 10% de l’art. 26 bis al. 3 RAI entré en vigueur le 1er janvier 2024), on aboutit à un salaire avec invalidité de CHF 39'040.-. Comparé à un revenu sans invalidité de CHF 49'186.-, la perte de gain est de CHF 10'146.-, ce qui correspond à une perte de gain, en pourcentage, pour la partie professionnelle, de 20.63%. Tenant compte d’une proportion de 80% dans la sphère professionnelle, on aboutit à un degré d’invalidité dans la sphère professionnelle de 16.5%, ce qui correspond au degré d’invalidité total, dès lors qu’il n’y a pas d’invalidité dans la sphère ménagère. Il résulte de ce qui précède que le calcul du taux d’invalidité effectué par l’intimé ne prête pas le flanc à la critique, de même que l’appréciation selon laquelle, en l’absence de handicap et au vu d’une perte de gain inférieur à 20%, le droit à l’aide au placement n’est pas ouvert.</w:t>
      </w:r>
    </w:p>
    <w:p>
      <w:r>
        <w:rPr>
          <w:b/>
        </w:rPr>
        <w:t>E. 9.6</w:t>
      </w:r>
    </w:p>
    <w:p>
      <w:r>
        <w:t>On rappellera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w:t>
      </w:r>
    </w:p>
    <w:p>
      <w:r>
        <w:t>A/3090/2024 - 19/20 -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 En l’état, la recourante a exercé son droit d’être entendue dans plusieurs écritures et l’audition du Dr K______ n’est pas pertinente dans la mesure où les éventuels troubles psychiatriques sont postérieurs à la décision attaquée. Enfin, une expertise pluridisciplinaire ne s’impose pas dès lors que les certificats médicaux proviennent de spécialistes qui ont examiné la patiente et décrit soigneusement les troubles observés. Pour ces raisons, les actes d’instruction demandés par la recourante sont superflus, selon l’appréciation anticipée des preuves de la chambre de céans.</w:t>
      </w:r>
    </w:p>
    <w:p>
      <w:r>
        <w:rPr>
          <w:b/>
        </w:rPr>
        <w:t>E. 10.1</w:t>
      </w:r>
    </w:p>
    <w:p>
      <w:r>
        <w:t>Compte tenu des éléments mentionnés supra, le recours est rejeté.</w:t>
      </w:r>
    </w:p>
    <w:p>
      <w:r>
        <w:rPr>
          <w:b/>
        </w:rPr>
        <w:t>E. 10.2</w:t>
      </w:r>
    </w:p>
    <w:p>
      <w:r>
        <w:t>La recourante plaidant au bénéfice de l’assistance juridique, la chambre de céans renoncera à la perception d’un émolument (art. 69 al. 1bis LAI et 13 al. 1 du règlement sur les frais, émoluments et indemnités en procédure administrative du 30 juillet 1986 [RFPA - E 5 10.03]).</w:t>
      </w:r>
    </w:p>
    <w:p>
      <w:r>
        <w:t>A/3090/2024 - 20/20 -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