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ATAS/234/2023 vom 3. April 2023</w:t>
      </w:r>
    </w:p>
    <w:p>
      <w:r>
        <w:t>GE Cour de justice, 2023-04-03, FR</w:t>
      </w:r>
    </w:p>
    <w:p>
      <w:r>
        <w:rPr>
          <w:b/>
        </w:rPr>
        <w:t xml:space="preserve">Quelle: </w:t>
      </w:r>
      <w:r>
        <w:t>https://mcp.opencaselaw.ch/entscheid/ge_gerichte_ATAS_234_2023</w:t>
      </w:r>
    </w:p>
    <w:p>
      <w:r>
        <w:t>FR: GE_GERICHTE ATAS/234/2023 du 3 avril 2023</w:t>
      </w:r>
    </w:p>
    <w:p>
      <w:r>
        <w:t>IT: GE_GERICHTE ATAS/234/2023 del 3 aprile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(ci-après : la chambre de céans)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principalement sur le droit de la recourante à l’octroi d’indemnités en cas de RHT du 1er septembre 2021 au 30 avril 2022.</w:t>
      </w:r>
    </w:p>
    <w:p>
      <w:r>
        <w:rPr>
          <w:b/>
        </w:rPr>
        <w:t>E. 3</w:t>
      </w:r>
    </w:p>
    <w:p>
      <w:r>
        <w:t>La recourante se plaint en premier lieu d’une violation de son droit d’être entendue. Ce grief, de nature formelle, doit être examiné en premier lieu (ATF 144 I 11 consid. 5.3).</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w:t>
      </w:r>
    </w:p>
    <w:p>
      <w:r>
        <w:t>A/2091/2022 - 6/10 - entendu est à la fois une institution servant à l'instruction de la cause et une faculté de la partie, en rapport avec sa personne, de participer au prononcé de décisions qui lèsent sa situation juridique (arrêt du Tribunal fédéral 4A_364/2015 du 13 avril 2016 consid. 2.2, non publié in ATF 142 III 355 ; ATF 126 I 15 consid. 2a/aa et les arrêts cités). Le droit de s’exprimer sur tous les points importants avant qu'une décision soit prise s'applique sans restriction pour les questions de fait. Selon la jurisprudence, sa violation peut cependant être réparée lorsque la partie lésée a la possibilité de s’exprimer devant une autorité de recours jouissant d'un plein pouvoir d'examen (ATF 145 I 167 consid. 4.4 ; ATF 142 II 218 consid. 2.8.1 et les arrêts cités).</w:t>
      </w:r>
    </w:p>
    <w:p>
      <w:r>
        <w:rPr>
          <w:b/>
        </w:rPr>
        <w:t>E. 3.2</w:t>
      </w:r>
    </w:p>
    <w:p>
      <w:r>
        <w:t>En l’espèce, la recourante a pu faire valoir ses arguments dans son opposition de sorte que son droit d’être entendue a été respecté. Une éventuelle violation de son droit d’être entendue aurait de toute manière été réparée puisque la recourante a eu la possibilité de faire valoir tous ses moyens devant la chambre de céans, qui jouit d’un plein pouvoir d’examen. Pour le surplus, il sera relevé qu’il appartenait à la recourante de faire valoir l’ensemble de ses moyens et de démontrer la réalisation des conditions d’octroi de l’indemnité RHT, d’autant plus qu’elle était déjà représentée par un avocat lors du traitement de son opposition. Le grief de la recourante sera donc écarté.</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Selon l’art. 31 al. 1 LACI, les travailleurs, dont la durée normale de travail est réduite ou l’activité suspendue, ont droit à l’indemnité en cas de RHT lorsque : - ils sont tenus de cotiser à l’assurance ou qu’ils n’ont pas encore atteint l’âge minimum de l’assujettissement aux cotisations AVS (let. a) ; - la perte de travail doit être prise en considération (let. b) ; - le congé n’a pas été donné (let. c) ;</w:t>
      </w:r>
    </w:p>
    <w:p>
      <w:r>
        <w:t>A/2091/2022 - 7/10 - - la réduction de l’horaire de travail est vraisemblablement temporaire, et si l’on peut admettre qu’elle permettra de maintenir les emplois en question (let. d). Aux termes de l’art. 32 al. 1 LACI, la perte de travail est prise en considération lorsqu’elle est due à des facteurs d’ordre économique et est inévitable (let. a) et qu’elle est d’au moins 10 %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inévitables) sont cumulatives (ATF 121 V 371 consid. 2a).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w:t>
      </w:r>
    </w:p>
    <w:p>
      <w:r>
        <w:rPr>
          <w:b/>
        </w:rPr>
        <w:t>E. 4.2</w:t>
      </w:r>
    </w:p>
    <w:p>
      <w:r>
        <w:t>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4.3</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du 13 mars 2020 sur les mesures destinées à lutter contre le coronavirus du</w:t>
      </w:r>
    </w:p>
    <w:p>
      <w:r>
        <w:t>A/2091/2022 - 8/10 - 13 mars 2020 (Ordonnance 2 COVID-19 ; RS 818.101.24) qui ordonnait notamment la mise en place des mesures visant à restreindre l’entrée en Suisse de personnes en provenance de pays ou de régions à risque (art. 2 al. 1 let. a). Le Secrétariat d’État aux migrations tient à jour une liste des pays et régions considérés à risque. En réaction aux mesures prises par les États et à l’évolution de l’épidémie, les compagnies aériennes ont annulé tout ou partie de leurs vols internationaux.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w:t>
      </w:r>
    </w:p>
    <w:p>
      <w:r>
        <w:rPr>
          <w:b/>
        </w:rPr>
        <w:t>E. 4.4</w:t>
      </w:r>
    </w:p>
    <w:p>
      <w:r>
        <w:t>A teneur des ordonnances COVID-19 situation particulière, dans leurs versions successivement en vigueur pour la période concernée (1er septembre 2021 au 30 avril 2022), le télétravail n’était plus obligatoire, mais recommandé depuis le 26 juin 2021, voire fortement recommandé depuis le 6 décembre 2021, de même que dès le 3 février 2022. Depuis le 20 décembre 2021, le télétravail était à nouveau obligatoire, mais avec le bémol que lorsque les personnes devaient travailler sur site, le port du masque était obligatoire dans tous les locaux partagés accueillant plus d’une personne (cf. récapitulation de la modification des mesures nationales visant à endiguer le coronavirus en Suisse depuis décembre 2020, établi par l’OFSP, et ATAS/764/2022 du 2 septembre 2022 consid. 2.1).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4.6</w:t>
      </w:r>
    </w:p>
    <w:p>
      <w:r>
        <w:t>Dans la décision entreprise, l’intimé s’est opposé au paiement de l’indemnité en cas de RHT au motif que la perte de travail, en plus de ne pas être avérée, n’était pas inévitable. Durant la période litigieuse, le télétravail n’était plus obligatoire et il n’y avait plus de restrictions concernant son activité spécifique. Les chiffres d’affaires communiqués ne permettaient ni de se prononcer sur l’étendue de son activité ni sur une éventuelle perte de travail. Enfin, les parents conservaient le besoin de faire garder leur enfant, malgré et du fait du télétravail, et les enfants et adolescents avaient besoin de soutien scolaire, domaine dans lequel la recourante aurait pu prospecter.</w:t>
      </w:r>
    </w:p>
    <w:p>
      <w:r>
        <w:t>A/2091/2022 - 9/10 - En l’occurrence, force est d'admettre, avec l'intimé, que l'existence d'une perte de travail n'est pas établie. La recourante n’articule en effet ni ne démontre aucun chiffre d’affaires s’agissant de la période pour laquelle elle demande l’indemnité en cas de RHT, les derniers chiffres énoncés, ressortant des documents complémentaires qu’elle a produits à l’appui de sa requête (pièce 5 recourante), se limitant à indiquer des chiffres d’affaires mensuels de janvier 2019 à août 2021. Elle n’a produit aucune nouvelle pièce tendant à démontrer son allégation dans son recours, alors même que l’absence de perte de travail était l’un des arguments principaux du refus de l’indemnité. Elle ne démontre pas non plus avoir concrètement cherché à diminuer son éventuel dommage en étendant ses prestations, comme elle se le proposait dans sa requête. Par ailleurs, la simple lecture des documents remis par la recourante à l’intimée permet de constater que le nombre de ses employées a effectivement évolué de cinq à six depuis sa première demande d’indemnité en cas de RHT. En outre, comme relevé par l’intimé, depuis le 8 septembre 2021, le télétravail n’était plus obligatoire et l’accès aux lieux de culture, installations de sport et de loisirs n’était pas limité pour les enfants de moins de 16 ans, les autres personnes devant être munies d’un certificat COVID-19 valide. Dans ces circonstances, il n’apparait pas que la recourante n’ait pas eu la possibilité d’exercer son activité, que ce soit sous l’angle de la garde d’enfants, que sous celui de l’organisation d’évènements les concernant, dans le respect des restrictions alors en vigueur. Il convient donc de retenir que l'existence d'une perte de travail n'est pas établie au degré de la vraisemblance prépondérante requise en assurances sociales. Les considérants qui précèdent conduisent au rejet du recours et à la confirmation de la décision entreprise. Pour le surplus, la procédure est gratuite (art. 61 let. a LPGA, dans sa version en vigueur, applicable en l'occurrence, au 31 décembre 2020, en lien avec l'art. 1 al. 1 LACI).</w:t>
      </w:r>
    </w:p>
    <w:p>
      <w:r>
        <w:t>A/2091/2022 - 10/10 -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