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ATAS/234/2020 vom 18. März 2020</w:t>
      </w:r>
    </w:p>
    <w:p>
      <w:r>
        <w:t>GE Cour de justice, 2020-03-18, FR</w:t>
      </w:r>
    </w:p>
    <w:p>
      <w:r>
        <w:rPr>
          <w:b/>
        </w:rPr>
        <w:t xml:space="preserve">Quelle: </w:t>
      </w:r>
      <w:r>
        <w:t>https://mcp.opencaselaw.ch/entscheid/ge_gerichte_ATAS_234_2020</w:t>
      </w:r>
    </w:p>
    <w:p>
      <w:r>
        <w:t>FR: GE_GERICHTE ATAS/234/2020 du 18 mars 2020</w:t>
      </w:r>
    </w:p>
    <w:p>
      <w:r>
        <w:t>IT: GE_GERICHTE ATAS/234/2020 del 18 marzo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des mesures professionnelles.</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6</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w:t>
      </w:r>
    </w:p>
    <w:p>
      <w:r>
        <w:t>A/3847/2018 - 10/19 -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7</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w:t>
      </w:r>
    </w:p>
    <w:p>
      <w:r>
        <w:t>A/3847/2018 - 11/19 - peut raisonnablement être exigée de lui après les traitements et les mesures de réadaptation, sur un marché du travail équilibré (art. 16 LPGA et art. 28 al. 2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8</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Aux termes de l'art. 25 al. 1 RAI (en relation avec l'art. 28a LAI), est réputé revenu déterminant au sens de l'art. 16 LPGA, pour l'évaluation de l'invalidité, le revenu annuel présumable sur lequel les cotisations seraient perçues en vertu de la LAVS (à l'exception des prestations, éléments de salaire et indemnités mentionnées aux let. a à c de cette disposition, sans pertinence en l'espèce). Cette réglementation établit un parallèle entre le revenu soumis à cotisation à l'assurance-vieillesse et survivants et le revenu à prendre en considération pour l'évaluation de l'invalidité; ce parallèle n'a toutefois pas valeur absolue et la jurisprudence admet quelques rectificatifs, par exemple si une diminution ou une augmentation extraordinaire du</w:t>
      </w:r>
    </w:p>
    <w:p>
      <w:r>
        <w:t>A/3847/2018 - 12/19 - revenu pendant une période déterminée est dûment établie (cf. arrêt du Tribunal fédéral des assurances I 499/97 du 23 novembre 1998, in SVR 1999 IV no 24 p. 71). Si le tout dernier revenu présente de fortes fluctuations à relativement court terme, il faut tenir compte du revenu moyen sur une plus longue période (SVR 2014 UV Nr. 1 p. 1; arrêts du Tribunal fédéral 8C_443/2018 du 30 janvier 2019 consid. 2.1; 8C_211/2013 du 3 octobre 2013 consid. 4.2). C'est notamment le cas si le dernier salaire obtenu avant la survenance de l'invalidité est nettement plus élevé que les salaires obtenus jusqu'alors. Il ne peut servir de référence pour le revenu sans invalidité que s'il est établi, selon la vraisemblance prépondérante, que l'assuré aurait continué à réaliser un tel salaire (arrêts du Tribunal fédéral 9C_751/2011 du 30 avril 2012 consid. 4.1; 9C_5/2009 du 16 juillet 2009 consid. 2.3, in SVR 2009 IV n° 58 p. 181).</w:t>
      </w:r>
    </w:p>
    <w:p>
      <w:r>
        <w:rPr>
          <w:b/>
        </w:rPr>
        <w:t>E. 9</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w:t>
      </w:r>
    </w:p>
    <w:p>
      <w:r>
        <w:t>A/3847/2018 - 13/19 -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rPr>
          <w:b/>
        </w:rPr>
        <w:t>E. 10</w:t>
      </w:r>
    </w:p>
    <w:p>
      <w:r>
        <w:t>Au titre des mesures d'ordre professionnel, la loi distingue la formation professionnelle initiale (art. 16 al. 1 LAI) du reclassement professionnel (art. 17 al. 1 LAI). Conformément à la première disposition citée, les surcoûts occasionnés par l'invalidité sont pris en charge si la formation répond aux aptitudes de l'assuré et que celui-ci n'a pas encore eu d'activité lucrative (art. 16 al. 1 LAI); selon la jurisprudence, est invalide au sens de cette disposition l'assuré dont la formation initiale à une profession répondant à ses aptitudes occasionne, du fait de son invalidité, des frais beaucoup plus élevés qu'à un non-invalide (ATF 114 V 30 consid. 1b et les références citées). Le critère déterminant le droit à l'une ou l'autre de ces mesures de réadaptation d'ordre professionnel réside dans l'exercice d'une activité lucrative d'une certaine importance avant la survenance de l'invalidité et l'application de la mesure (ATF 129 V 119 consid. 2.2; VSI 2000 p. 194 consid. 2a</w:t>
      </w:r>
    </w:p>
    <w:p>
      <w:r>
        <w:t>A/3847/2018 - 14/19 - et les références à ATF 118 V 7 consid. 1c/c). Dans ce cadre, l'invalidité ou plus précisément le cas d'assurance survient lorsque l'atteinte à la santé a des répercussions telles que l'exercice de l'activité en cause n'est plus possible à long terme et que celle-ci n'apparaît plus exigible, de sorte que la mesure d'ordre professionnel est objectivement indiquée (ATF 113 V 261 consid. 1b; arrêt du Tribunal fédéral des assurances I 159/05, cité, consid. 3.2.2). Par ailleurs, une activité d'une certaine importance économique suppose que l'assuré ait acquis pendant six mois un revenu équivalant à trois quarts d'une rente ordinaire simple minimale entière et perdu celui-ci en raison de l'invalidité (ATF 118 V 7 consid. 1c/aa; arrêt du Tribunal fédéral 9C_354/2010 du 16 décembre 2010 consid. 3.1).</w:t>
      </w:r>
    </w:p>
    <w:p>
      <w:r>
        <w:rPr>
          <w:b/>
        </w:rPr>
        <w:t>E. 11</w:t>
      </w:r>
    </w:p>
    <w:p>
      <w:r>
        <w:t>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w:t>
      </w:r>
    </w:p>
    <w:p>
      <w:r>
        <w:t>A/3847/2018 - 15/19 -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Le critère déterminant le droit à l'une ou l'autre des deux mesures de réadaptation d'ordre professionnel en cause réside dans l'exercice d'une activité lucrative d'une certaine importance économique avant la survenance de l'invalidité, dont le moment est déterminé de manière spécifique pour les mesures de réadaptation (ATF 121 186 consid. 3b p. 188; arrêts I 159/05 du 16 mars 2006 consid. 2 et I 328/98, cité, consid. 2a).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 Le recourant a invoqué l’ATAS/987/2016 du 28 novembre 2016, dans lequel la chambre de céans a octroyé un reclassement à un assuré auquel elle reconnaissait un taux d’invalidité d’au moins 10 à 12%, âgé de 20 ans au moment de l’atteinte à la santé, qui se trouvait, au moment de la survenance de l'invalidité, au tout début de sa carrière professionnelle (apprentissage de peintre en bâtiment), et qui avait dû interrompre un apprentissage en cours, en raison de ses atteintes à la santé et des limitations fonctionnelles qui en découlaient, qui lui permettaient d'accéder au marché du travail dans la profession à laquelle il se destinait à l'époque. La chambre de céans a retenu que la mesure de reclassement sollicitée présentait toutes les chances de succès permettant d'escompter le maintien ou l'amélioration de la capacité de gain du recourant. Selon ses propres déclarations, constantes au cours de la procédure administrative, et dans le cadre du présent recours, l’assuré avait montré qu'il est motivé pour un tel reclassement, ce que confirmaient également ses</w:t>
      </w:r>
    </w:p>
    <w:p>
      <w:r>
        <w:t>A/3847/2018 - 16/19 - médecins traitants qui recommandaient d'ailleurs une telle mesure et soutenait la démarche de leur patient. Le Tribunal fédéral a annulé l’arrêt précité (arrêt 9C_58/2017 du 3 août 2017), relevant que le droit au reclassement présuppose que l'assuré ait obtenu, avant la survenance de l'invalidité, un revenu provenant d'une activité lucrative d'une certaine importance économique. L'art. 6 al. 2 RAI prévoyait que lorsqu'une formation initiale avait dû être interrompue en raison de l'invalidité de l'assuré, une nouvelle formation professionnelle était assimilée à un reclassement, seulement si le revenu acquis en dernier lieu par l'assuré durant la formation interrompue était supérieur à l'indemnité journalière prévue par l'art. 23 al. 2 LAI. Selon cette dernière disposition, l'indemnité de base s'élevait à 30% du montant maximum de l'indemnité journalière fixée à l'art. 24 al. 1 LAI pour l'assuré qui avait atteint l'âge de 20 ans et qui aurait entrepris une activité lucrative après avoir terminé sa formation s'il n'avait pas été invalide. Le but de l'art. 6 al. 2 RAI était, entre autres objectifs, de distinguer le reclassement de la formation professionnelle initiale au sens de l'art. 16 LAI. Dans le cas d’espèce, le salaire de l’assuré était inférieur au 30% du montant maximum de l'indemnité journalière. La condition prévue à l'art. 6 al. 2 RAI n'étant pas remplie, l'intimé n'avait pas droit aux mesures de reclassement.</w:t>
      </w:r>
    </w:p>
    <w:p>
      <w:r>
        <w:rPr>
          <w:b/>
        </w:rPr>
        <w:t>E. 12</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13</w:t>
      </w:r>
    </w:p>
    <w:p>
      <w:r>
        <w:t>Aux termes de l'art. 18 al. 1 LAI, l'assuré présentant une incapacité de travail (art. 6 LPGA) et susceptible d'être réadapté a droit : à un soutien actif dans la recherche d'un emploi approprié (let. a); à un conseil suivi afin de conserver un emploi (let. b). Du message du Conseil fédéral du 22 juin 2005 concernant la modification de la loi fédérale sur l'assurance-invalidité (5ème révision de l'AI), il ressort que les assurés</w:t>
      </w:r>
    </w:p>
    <w:p>
      <w:r>
        <w:t>A/3847/2018 - 17/19 - présentant une incapacité de travail complète ou partielle doivent avoir droit à un soutien actif dans la recherche d'un emploi approprié et, s'ils en ont déjà un, à un conseil suivi afin de le conserver (FF 2005 4279). Il résulte du message précité de l'autorité exécutive (FF 2005 4319) que l'art. 18 al. 1 LAI formule les conditions d'octroi de manière plus large qu'auparavant, de façon que toute personne en incapacité de travail, mais apte à la réadaptation, puisse profiter du placement.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w:t>
      </w:r>
    </w:p>
    <w:p>
      <w:r>
        <w:t>A/3847/2018 - 18/19 - après l'entrée en vigueur de la 4ème et de la 5ème révision de l'AI (arrêt du Tribunal fédéral des assurances I 427/05 du 24 mars 2006, in SVR 2006 IV Nr. 45 p. 162; arrêt du Tribunal fédéral 9C_416/2009 du 1er mars 2010 consid. 5.2).</w:t>
      </w:r>
    </w:p>
    <w:p>
      <w:r>
        <w:rPr>
          <w:b/>
        </w:rPr>
        <w:t>E. 14</w:t>
      </w:r>
    </w:p>
    <w:p>
      <w:r>
        <w:t>Dans le cas d’espèce, le calcul du taux d’invalidité effectué par l’intimé n’a pas été remis en cause par le recourant et n’appelle pas la critique. Il convient donc de retenir qu’il est de 12%, ce qui n’ouvre pas au recourant le droit à un reclassement. S’il est relativement jeune et motivé, il ne répond pas aux conditions dans lesquelles s’applique la jurisprudence du Tribunal fédéral selon laquelle le droit à un reclassement ne doit pas être limité à un taux d’invalidité de 20%. En effet, l’assuré est sans formation et l’on ne peut considérer qu’il l’était en début de carrière professionnelle et que son salaire était susceptible de progresser plus rapidement par la suite qu’une personne sans formation. Sa situation n’est ainsi pas assimilable à celle de l’assuré concerné par l’ATAS/987/2016 du 28 novembre 2016, lequel était en train de suivre formation initiale qui avait dû être interrompue en raison de l'invalidité. Il ne ressort pas des pièces versées au dossier que le recourant rencontrerait de réelles difficultés pour retrouver une activité lucrative adaptée à ses limitations. Le Tribunal fédéral a en effet considéré, en présence de limitations fonctionnelles que lorsque le marché du travail offre un éventail suffisamment large d’activités légères, dont un nombre significatif sont adaptées à l’état de santé de l’assuré et accessibles sans formation particulière, il n’existe guère d’obstacle à l’exercice d’un emploi adapté, de sorte que l’octroi d’une mesure d’orientation professionnelle apparaît superflu (arrêt du Tribunal fédéral 9C_534/2010 du 10 février 2011, consid. 4.3). On rappellera enfin que le « marché du travail » auquel cette jurisprudence se réfère correspond à la notion de marché du travail équilibré au sens de l’art. 7 LPGA et que cette disposition a précisément pour but de délimiter les prestations de l’assurance-invalidité de celles de l’assurance- chômage. Ainsi, le recourant ne peut se voir octroyer une mesure d’orientation professionnelle.</w:t>
      </w:r>
    </w:p>
    <w:p>
      <w:r>
        <w:t>Le droit à une aide au placement doit également être déniée au recourant, car il dispose d’une capacité de travail de 100% dans une activité adaptée et qu’il n’apparaît pas que ce sont les limitations liées à son état de santé qui l’entraveraient dans ses démarches pour retrouver un emploi.</w:t>
      </w:r>
    </w:p>
    <w:p>
      <w:r>
        <w:rPr>
          <w:b/>
        </w:rPr>
        <w:t>E. 15</w:t>
      </w:r>
    </w:p>
    <w:p>
      <w:r>
        <w:t>Au vu de ce qui précède, le recours sera rejeté.</w:t>
      </w:r>
    </w:p>
    <w:p>
      <w:r>
        <w:rPr>
          <w:b/>
        </w:rPr>
        <w:t>E. 16</w:t>
      </w:r>
    </w:p>
    <w:p>
      <w:r>
        <w:t>Un émolument de CHF 200.- sera mis à la charge du recourant (art. 69 al. 1bis LAI).</w:t>
      </w:r>
    </w:p>
    <w:p>
      <w:r>
        <w:t>A/3847/2018 - 19/19 -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