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ATAS/234/2016 vom 21. März 2016</w:t>
      </w:r>
    </w:p>
    <w:p>
      <w:r>
        <w:t>GE Cour de justice, 2016-03-21, FR</w:t>
      </w:r>
    </w:p>
    <w:p>
      <w:r>
        <w:rPr>
          <w:b/>
        </w:rPr>
        <w:t xml:space="preserve">Quelle: </w:t>
      </w:r>
      <w:r>
        <w:t>https://mcp.opencaselaw.ch/entscheid/ge_gerichte_ATAS_234_2016</w:t>
      </w:r>
    </w:p>
    <w:p>
      <w:r>
        <w:t>FR: GE_GERICHTE ATAS/234/2016 du 21 mars 2016</w:t>
      </w:r>
    </w:p>
    <w:p>
      <w:r>
        <w:t>IT: GE_GERICHTE ATAS/234/2016 del 21 marzo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procédure devant la Chambre de céans est régie par les dispositions de la LPGA et celle du titre IV A (soit les art. 89B à 89I) LPA, complétées par les autres dispositions de la LPA en tant que ces articles précités n’y dérogent pas (art. 89A LPA), les dispositions spécifiques que la LACI contient sur la procédure restant réservées (cf. art. al. 1 LACI, cf. notamment art. 100 ss LACI).</w:t>
      </w:r>
    </w:p>
    <w:p>
      <w:r>
        <w:rPr>
          <w:b/>
        </w:rPr>
        <w:t>E. 3</w:t>
      </w:r>
    </w:p>
    <w:p>
      <w:r>
        <w:t>Le présent recours a été interjeté en temps utile (art. 60 al. 1 LPGA), dans le respect des exigences, au demeurant peu élevées, de forme et de contenu prescrites par l’art. 89B LPA, et par une personne ayant qualité pour recourir (art. 59 LPGA).</w:t>
      </w:r>
    </w:p>
    <w:p>
      <w:r>
        <w:t>A/1026/2015 - 6/12 - Le présent recours sera déclaré recevable.</w:t>
      </w:r>
    </w:p>
    <w:p>
      <w:r>
        <w:rPr>
          <w:b/>
        </w:rPr>
        <w:t>E. 4</w:t>
      </w:r>
    </w:p>
    <w:p>
      <w:r>
        <w:t>Le litige porte sur le droit de l'intimé de prononcer à l'encontre de la recourante une suspension d'une durée de trois jours dans l'exercice de son droit à l'indemnité, au motif que ses recherches d'emploi pour le mois de janvier 2015 étaient insuffisantes quantitativement.</w:t>
      </w:r>
    </w:p>
    <w:p>
      <w:r>
        <w:rPr>
          <w:b/>
        </w:rPr>
        <w:t>E. 5</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a.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et ss;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w:t>
      </w:r>
    </w:p>
    <w:p>
      <w:r>
        <w:t>A/1026/2015 - 7/12 - inaction (cf. ATF 124 V 225 consid. 5b p. 233; ATFA non publiés C 144/05 du 1er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Quant à l’assuré qui a trouvé une activité prise en compte à titre de gain intermédiaire, il doit lui aussi continuer à rechercher un travail convenable mettant fin au chômage, même s’il est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 travail due à une maladie ou à un accident (SECO, Bulletin LACI – IC, B320).</w:t>
      </w:r>
    </w:p>
    <w:p>
      <w:r>
        <w:rPr>
          <w:b/>
        </w:rPr>
        <w:t>E. 6</w:t>
      </w:r>
    </w:p>
    <w:p>
      <w:r>
        <w:t>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w:t>
      </w:r>
    </w:p>
    <w:p>
      <w:r>
        <w:t>A/1026/2015 - 8/12 - compromet ou empêche, par son comportement, le déroulement de la mesure ou la réalisation de son but (let. d).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dure de 1 à 15 jours en cas de faute légère, de 16 à 30 jours en cas de faute de gravité moyenne et de 31 à 60 jours en cas de faute grave.</w:t>
      </w:r>
    </w:p>
    <w:p>
      <w:r>
        <w:rPr>
          <w:b/>
        </w:rPr>
        <w:t>E. 7</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La circulaire relative à l'indemnité de chômage du SECO concernant la durée de la suspension de l'indemnité, prévoit une suspension de trois à quatre jours en cas de recherche insuffisante d'emploi, et de cinq à neuf jours en cas d'absence totale de recherche, durant la période de contrôle, pour la 1ère fois, la faute étant considérée comme légère (cf. SECO, Bulletin LACI – IC, D72).</w:t>
      </w:r>
    </w:p>
    <w:p>
      <w:r>
        <w:rPr>
          <w:b/>
        </w:rPr>
        <w:t>E. 8</w:t>
      </w:r>
    </w:p>
    <w:p>
      <w:r>
        <w:t>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n° B 316).</w:t>
      </w:r>
    </w:p>
    <w:p>
      <w:r>
        <w:t>A/1026/2015 - 9/12 - Il résulte de l’échelle des suspensions établie par le Secrétariat d’Etat à l’économie (SECO) que lorsque l’assuré a effectué des recherches d'emploi insuffisantes, l’autorité doit infliger une sanction de 3 à 4 jours s’il s’agit de la première fois (SECO, Bulletin LACI – IC, D72).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l’ORP a reproché à l’assurée de n’avoir pas respecté les objectifs résultant du contrat signé le 23 avril 2014 et aux termes desquels les recherches d’emploi devaient être réparties sur l’ensemble du mois concerné et non groupées sur un seul jour ou sur une courte période, et qui plus est, dans le cas particulier, dans les premiers jours qui suivent l’échéance du mois au cours duquel la preuve des recherches effectuées doit être rapportée. L’assurée ne conteste pas avoir regroupé les cinq recherches d’emploi effectuées pour le mois de janvier entre le 29 janvier 2015 et les 3 et 4 février 2015. Elle allègue cependant que sa mauvaise maîtrise de la langue française est probablement à l'origine d'un malentendu, car elle avait compris du contrat qu'elle avait signé le 23 avril 2014 qu'elle pouvait au besoin compléter ses recherches mensuelles jusqu'au 5 du mois suivant, soit jusqu'à la date limite où elle pouvait rendre le formulaire concerné. Force est de constater que cette explication ne permet pas de justifier l’insuffisance en termes de quantité de ses recherches d’emploi. Le contrat d’objectifs du 23 avril 2014 décrit à cet égard très précisément les instructions que l’assurée doit suivre pour effectuer ses recherches d’emploi. Les points essentiels parmi lesquels le fait que les recherches doivent être remises à l'ORP en fin de mois (à partir du 25) ou au plus tard le 5 du mois suivant, et que les recherches d'emploi doivent être réparties sur l'ensemble du mois concerné figurent en gras dans le texte. A cet égard l'assurée a bien confirmé que pour elle les mentions en caractères gras sont plus importantes que le reste. Certes la chambre de céans a pu constater lors de l'audition de la recourante qu'elle ne maîtrise pas pleinement la langue française. Toutefois son bagage professionnel, son expérience notamment dans le domaine de la communication et sa connaissance de nombreuses langues, ainsi que cela ressort de son curriculum vitae, sont tels qu'il n'est pas crédible qu'elle ait pu laisser au hasard la pleine compréhension des règles impératives à respecter pour fournir les recherches mensuelles d'emploi, d'autant que le contrat attire encore l'attention de</w:t>
      </w:r>
    </w:p>
    <w:p>
      <w:r>
        <w:t>A/1026/2015 - 10/12 - l'assuré sur les sanctions possibles de manquements. Elle a d'ailleurs précisé qu'elle avait discuté avec son conseiller de la manière dont elle devait remplir ses recherches d'emploi. L'argumentation développée dans son opposition et dans son recours, aux termes de laquelle elle aurait à plusieurs reprises demandé que la documentation lui soit fournie en allemand et qu'on lui aurait systématiquement répondu que celle-ci n'existait qu'en français n'est pas crédible. Certes elle n'est pas disponible en allemand à Genève, mais elle existe dans plusieurs autres langues que l'assurée maîtrise parfaitement, notamment l'anglais. A ce sujet, ce n'est qu'en fin de comparution personnelle que pour la première fois, après que la représentante de l'intimé a eu indiqué que la brochure remise systématiquement à chaque chômeur est notamment disponible en anglais, en espagnol et en portugais, qu'elle a allégué l'avoir demandée à plusieurs reprises en anglais et qu'on lui aurait indiqué qu'elle n'était disponible qu'en français. Il faut ainsi plutôt voir, au degré de la vraisemblance prépondérante, la raison pour laquelle elle n'a pas rapporté la preuve de recherches suffisantes dans le mois de janvier même et qu'elle a encore complété celles-ci dans les premiers jours de février, dans le fait qu'elle a – selon ses dires - été prise de court à fin janvier 2015 lorsqu'elle a reçu la réponse négative d'Apple ; on relèvera au demeurant qu'aucune trace de cette recherche n'a été produite par la recourante tant sur opposition que sur recours. Quoi qu'il en soit, la réalité de cette recherche d'emploi – qui ne figure pas même sur les recherches datées de janvier 2015 - n'a pas d'incidence sur la solution du litige. A teneur des références jurisprudentielles et aux directives mentionnées ci-dessus, la recourante, qui dit avoir interrompu ses recherches en cours de mois vu les entretiens en cours avec Apple, ne pouvait pas se permettre une telle interruption, faute de détenir la certitude et la confirmation de cet emploi. On notera aussi que dans les recherches de 2014, aucune de celles-ci n'est datée d'un des premiers jours du mois suivant le mois concerné quand bien même certains formulaires de preuves de recherches mensuelles ont été rendus durant les premiers jours du mois suivant. Il résulte donc de ce qui précède que ce ne sont bien que deux (voire trois si l'on prend en compte la démarche auprès d'Apple) recherches qui ont été démontrées pour le mois de janvier 2015, ce qui est insuffisant quantitativement en regard des cinq recherches mensuelles exigées par le contrat du 23 avril 2014. Le principe de la sanction infligée est donc pleinement justifié.</w:t>
      </w:r>
    </w:p>
    <w:p>
      <w:r>
        <w:rPr>
          <w:b/>
        </w:rPr>
        <w:t>E. 11</w:t>
      </w:r>
    </w:p>
    <w:p>
      <w:r>
        <w:t>Quant à la quotité de celle-ci, à savoir trois jours de suspension, elle tient notamment compte de la faute commise et du fait qu'il s'agit du premier manquement retenu à l'encontre de l'assurée. Par ailleurs, elle s'inscrit dans la limite inférieure du barème établi par le SECO pour des recherches insuffisantes. Ceci dit la situation financière difficile de l'assuré n'est pas une circonstance dont la sanction doit tenir compte. Au vu de l'ensemble des circonstances du cas d'espèce, il n'apparaît pas que l'autorité intimée aurait excédé son pouvoir d'appréciation, la sanction prononcée demeurant proportionnée au manquement reproché au recourant.</w:t>
      </w:r>
    </w:p>
    <w:p>
      <w:r>
        <w:t>A/1026/2015 - 11/12 -</w:t>
      </w:r>
    </w:p>
    <w:p>
      <w:r>
        <w:rPr>
          <w:b/>
        </w:rPr>
        <w:t>E. 12</w:t>
      </w:r>
    </w:p>
    <w:p>
      <w:r>
        <w:t>Le recours, mal fondé, est rejeté.</w:t>
      </w:r>
    </w:p>
    <w:p>
      <w:r>
        <w:rPr>
          <w:b/>
        </w:rPr>
        <w:t>E. 13</w:t>
      </w:r>
    </w:p>
    <w:p>
      <w:r>
        <w:t>La procédure est gratuite.</w:t>
      </w:r>
    </w:p>
    <w:p>
      <w:r>
        <w:t>A/1026/2015 - 12/12 -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