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ATAS/234/2014 vom 26. Februar 2014</w:t>
      </w:r>
    </w:p>
    <w:p>
      <w:r>
        <w:t>GE Cour de justice, 2014-02-26, FR</w:t>
      </w:r>
    </w:p>
    <w:p>
      <w:r>
        <w:rPr>
          <w:b/>
        </w:rPr>
        <w:t xml:space="preserve">Quelle: </w:t>
      </w:r>
      <w:r>
        <w:t>https://mcp.opencaselaw.ch/entscheid/ge_gerichte_ATAS_234_2014</w:t>
      </w:r>
    </w:p>
    <w:p>
      <w:r>
        <w:t>FR: GE_GERICHTE ATAS/234/2014 du 26 février 2014</w:t>
      </w:r>
    </w:p>
    <w:p>
      <w:r>
        <w:t>IT: GE_GERICHTE ATAS/234/2014 del 26 febbraio 2014</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loi fédérale du 6 octobre 2000 sur la partie générale du droit des assurances sociales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les forme et délai prévus par la loi (art. 56ss LPGA), le recours est recevable.</w:t>
      </w:r>
    </w:p>
    <w:p>
      <w:r>
        <w:rPr>
          <w:b/>
        </w:rPr>
        <w:t>E. 4</w:t>
      </w:r>
    </w:p>
    <w:p>
      <w:r>
        <w:t>L'objet du litige porte sur le droit du recourant à la prise en charge d’une prothèse Genium, plus particulièrement sur le point de savoir s’il s’agit d’un modèle simple et adéquat.</w:t>
      </w:r>
    </w:p>
    <w:p>
      <w:r>
        <w:rPr>
          <w:b/>
        </w:rPr>
        <w:t>E. 5</w:t>
      </w:r>
    </w:p>
    <w:p>
      <w:r>
        <w:t>Selon l’art. 11 LAA, l'assuré a droit aux moyens auxiliaires destinés à compenser un dommage corporel ou la perte d'une fonction. Le Conseil fédéral établit la liste de ces moyens auxiliaires (al. 1). Les moyens auxiliaires sont d'un modèle simple et adéquat. L'assureur les remet en toute propriété ou en prêt (al. 2). Comme cela ressort de l’art. 19 de l’ordonnance sur l’assurance-accidents (OLAA ; RS 832.202), le Département fédéral de l'intérieur (département) dresse une liste des moyens auxiliaires et édicte des dispositions sur la remise de ceux-ci. Le département a fait usage de cette délégation de compétence en édictant l’ordonnance sur la remise de moyens auxiliaires par l'assurance-accidents (OMAA ; RS 832.205.12). L’art. 1 OMAA dispose que l'assuré a droit aux moyens auxiliaires figurant sur la liste en annexe, dans la mesure où ceux-ci compensent un dommage corporel ou la perte d'une fonction qui résulte d'un accident ou d'une maladie professionnelle</w:t>
      </w:r>
    </w:p>
    <w:p>
      <w:r>
        <w:t>A/1484/2012 - 15/19 - (al. 1).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(al. 2). Lorsque l'assurance-accidents est tenue de fournir un moyen auxiliaire, tout droit analogue envers l'assurance-invalidité est exclu (al. 3). Selon l’art. 3 OMAA, les assureurs sont autorisés à conclure avec les fournisseurs de moyens auxiliaires des conventions afin de régler leur collaboration et de fixer les tarifs (al. 1). En l'absence de convention, le Département fédéral de l'intérieur peut fixer des montants maximums pour le remboursement des moyens auxiliaires (al. 2). Les prothèses pour les pieds et les jambes font partie de la liste des moyens auxiliaires figurant dans l’annexe à l’ordonnance. Les critères de simplicité et d’adéquation sont cumulatifs (Der Begriff des Hilfsmittels in der Unfallversicherung, Friedrich BELLWALD, SZS 2005 p. 311ss). Les conditions de simplicité et d’adéquation pour l’octroi de moyens auxiliaires sont l’expression du principe de la proportionnalité et supposent que les transformations requises soient propres à atteindre le but fixé par la loi et apparaissent nécessaires et suffisantes à cette fin (ATFA non publié I 502/05 du</w:t>
      </w:r>
    </w:p>
    <w:p>
      <w:r>
        <w:rPr>
          <w:b/>
        </w:rPr>
        <w:t>E. 9</w:t>
      </w:r>
    </w:p>
    <w:p>
      <w:r>
        <w:t>Eu égard à ce qui précède, la décision de l’intimée limitant la prise en charge d’un moyen auxiliaire à une prothèse C-Leg est conforme au droit. Le recourant, qui succombe, n’a pas droit à des dépens (art. 61 let. g LPGA). Pour le surplus, la procédure est gratuite (art. 61 let. a LPGA).</w:t>
      </w:r>
    </w:p>
    <w:p>
      <w:r>
        <w:t>A/1484/2012 - 19/19 -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