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ATAS/233/2026 vom 17. März 2026</w:t>
      </w:r>
    </w:p>
    <w:p>
      <w:r>
        <w:t>GE Cour de justice, 2026-03-17, FR</w:t>
      </w:r>
    </w:p>
    <w:p>
      <w:r>
        <w:rPr>
          <w:b/>
        </w:rPr>
        <w:t xml:space="preserve">Quelle: </w:t>
      </w:r>
      <w:r>
        <w:t>https://mcp.opencaselaw.ch/entscheid/ge_gerichte_ATAS_233_2026</w:t>
      </w:r>
    </w:p>
    <w:p>
      <w:r>
        <w:t>FR: GE_GERICHTE ATAS/233/2026 du 17 mars 2026</w:t>
      </w:r>
    </w:p>
    <w:p>
      <w:r>
        <w:t>IT: GE_GERICHTE ATAS/233/2026 del 17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la forme et le délai prévus par la loi, le recours est recevable.</w:t>
      </w:r>
    </w:p>
    <w:p>
      <w:r>
        <w:rPr>
          <w:b/>
        </w:rPr>
        <w:t>E. 2</w:t>
      </w:r>
    </w:p>
    <w:p>
      <w:r>
        <w:t>Le litige porte sur le point de savoir si l’intimée était fondée à considérer que l’état de santé du recourant était stabilisé au 31 décembre 2024 et, dans l’affirmative, sur le droit à rente d’invalidité et à une IPAI.</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Selon l’art. 6 al. 2 LAA, l’assurance alloue aussi ses prestations pour les lésions corporelles énumérées aux lettres a à h (dont les déchirures du ménisque), pour autant que celles-ci ne soient pas dues de manière prépondérante à l’usure ou à une maladie. Dans un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w:t>
      </w:r>
    </w:p>
    <w:p>
      <w:r>
        <w:t>A/3844/2025 - 20/40 - au sens de l’art. 6 al. 2 LAA. Le Tribunal fédéral a admis que, dans cette hypothèse, l’assureur-accidents doit prendre en charge les suites de la lésion en cause sur la base de l’art. 6 al. 1 LAA ; en revanche, en l’absence d’un accident au sens juridique, le cas doit être examiné sous l’angle de l’art. 6 al. 2 LAA (ATF 146 V 51 consid. 9.1 ; résumé dans la RSAS 1/2020 p. 33ss. ; arrêt du Tribunal fédéral 8C_520/2020 du 3 mai 2021 consid. 5.1). En l’espèce, il n’est pas contesté par les parties que l’événement du 5 juin 2019 est constitutif d’un accident au sens de l’art. 4 LPGA. Partant, il n’est pas nécessaire de déterminer si certaines lésions constatées par les médecins figurent dans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 ci-après : consid. 4.2 et 4.3).</w:t>
      </w:r>
    </w:p>
    <w:p>
      <w:r>
        <w:rPr>
          <w:b/>
        </w:rPr>
        <w:t>E. 3.2</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notamment en fonction de l’augmentation ou de la récupération probable de la capacité de travail réduite par l’accident, étant précisé que l’amélioration attendue par la continuation du traitement médical doit</w:t>
      </w:r>
    </w:p>
    <w:p>
      <w:r>
        <w:t>A/3844/2025 - 21/40 - être « sensible ». Le terme « sensible » indique donc que l’amélioration espérée par un autre traitement (approprié au sens de l’art. 10 al. 1 LAA) doit être importante (ATF 143 V 148 consid. 3.1.1). Des améliorations insignifiantes ne suffisent pas, pas plus que la simple possibilité d’une amélioration (arrêt du Tribunal fédéral 8C_528/2022 du 17 novembre 2022 consid. 7.1 et l’arrêt cité).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exemple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prospective et non rétrospective (arrêt du Tribunal fédéral 8C_142/2017 consid. 4 et les arrêts cités), c’est-à-dire à la lumière des circonstances qui prévalaient au moment de la clôture du cas (arrêt du Tribunal fédéral 8C_83/2017 du 11 décembre 2017 consid. 4.3). Pour ce faire, on se fonde en premier lieu sur les renseignements médicaux relatifs aux possibilités thérapeutiques et à l’évolution de la maladie, qui sont généralement compris dans la notion de pronostic (arrêt du Tribunal fédéral 8C_682/2021 du 13 avril 2022 consid. 5.1 et les arrêts cités).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4.1</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A/3844/2025 - 22/40 -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4.3</w:t>
      </w:r>
    </w:p>
    <w:p>
      <w:r>
        <w:t>Sous la note marginale « concours de diverses causes du dommage », l’art. 36 al. 1 LAA dispose que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w:t>
      </w:r>
    </w:p>
    <w:p>
      <w:r>
        <w:t>A/3844/2025 - 23/40 -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4.4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A/3844/2025 - 24/40 -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t>A/3844/2025 - 25/40 -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125 V 193 consid. 2). Aussi n’existe-t-il pas, en droit des assurances sociales, un principe selon lequel l’administration ou le juge devrait statuer, dans le doute, en faveur de l’assuré (ATF 135 V 39 consid. 6. 1 et la référence).</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140 I 285 consid. 6.3.1 et les références). Une telle manière de procéder ne viole pas le droit d’être entendu selon l’art. 29 al. 2 de la Constitution fédérale de la Confédération suisse du 18 avril 1999 (Cst. – RS 101 ; SVR 2001 IV n. 10 p. 28 consid. 4b), la jurisprudence</w:t>
      </w:r>
    </w:p>
    <w:p>
      <w:r>
        <w:t>A/3844/2025 - 26/40 - rendue sous l’empire de l’art. 4 aCst. étant toujours valable (ATF 124 V 90 consid. 4b ; 122 V 157 consid. 1d).</w:t>
      </w:r>
    </w:p>
    <w:p>
      <w:r>
        <w:rPr>
          <w:b/>
        </w:rPr>
        <w:t>E. 7.1</w:t>
      </w:r>
    </w:p>
    <w:p>
      <w:r>
        <w:t>En l’espèce, il est rappelé que le recourant a été victime de lésions méniscales aux deux genoux, survenues le 5 juin 2019 dans le cadre d’un accident professionnel (chute d’une échelle d’une hauteur de 2 à 2.5 mètres avec réception sur les pieds puis les genoux). Dans sa décision du 11 janvier 2021 confirmée sur opposition le 27 janvier 2021, l’intimée avait retenu que le recourant était apte à reprendre son activité habituelle à 50% dès le 11 janvier 2021, puis à 100% dès le 1er mars 2021. À la suite du recours interjeté contre cette décision, elle avait conclu à l’admission partielle de celui-ci, en se fondant sur l’appréciation du 26 avril 2021 de la Dre J______. Celle-ci retenait que si l’ancienne activité de nettoyeur ne pouvait plus être exercée, une activité adaptée pouvait être exercée à 100% dès le 11 janvier 2021. Dans l’arrêt du 25 janvier 2022 (ATAS/38/2022), annulant la décision sur opposition précitée, la chambre de céans a considéré que l’état de santé de l’assuré n’était pas stabilisé fin décembre 2020 et qu’il n’était pas non plus établi qu’il puisse exercer une activité – même adaptée à ses limitations fonctionnelles –, que ce soit à 50% dès le 11 janvier 2021, ou à 100% dès le 1er mars 2021, raison pour laquelle il incombait à la SUVA de mettre en œuvre une expertise afin d’évaluer l’évolution de l’état de santé et la capacité de travail de l’assuré dès janvier 2021. À la suite de cet arrêt, l’expert M______, désigné par la SUVA, s’est prononcé sur un état de fait dont le principal élément nouveau consistait en une allogreffe du ménisque interne, réalisée le 23 novembre 2021 au genou gauche, et le projet d’une intervention identique au genou droit – non encore effectuée à la date du rapport d’expertise, soit le 28 octobre 2022. Selon cet expert, le caractère favorable de l’évolution du genou gauche après la greffe, constaté au moment de l’expertise, ne dispensait pas d’une réévaluation de l’état orthopédique un an après la greffe du côté gauche – et un an après la greffe à venir du côté droit. Cela étant, l’absence de stabilisation du cas n’empêchait pas, dès avril 2021, la reprise à plein temps d’une activité adaptée, c’est-à-dire sédentaire, exercée préférentiellement en position assise, avec une limite au niveau du port de charges (10-15 kg portés sur quelques dizaines de mètres et quelques fois par jour), sans montées/descentes itératives d’escaliers, ni position d’agenouillement/accroupissement, ni activité en terrain accidenté. Sur la base des conclusions du rapport d’expertise du 28 octobre 2022, la SUVA a accepté, le 17 octobre 2023, de reprendre le versement des indemnités journalières avec effet au 1er mars 2021. Elle a également accepté de prendre en charge la greffe méniscale du côté droit, réalisée le 9 janvier 2024, tout en estimant, par décision du 23 mai 2025 confirmée sur opposition par la décision litigieuse, que le cas était stabilisé au 31 décembre 2024, compte tenu des appréciations du Dr E______ des 20 septembre 2024 et 5 mai 2025. Dans la mesure où il ne subissait pas de perte de gain dans l’exercice d’une activité adaptée aux</w:t>
      </w:r>
    </w:p>
    <w:p>
      <w:r>
        <w:t>A/3844/2025 - 27/40 - limitations fonctionnelles définies le 20 septembre 2024 par le Dr E______, l’intéressé ne pouvait pas prétendre à une rente d’invalidité. Enfin, il ne remplissait pas non plus les conditions d’octroi d’une IPAI. Il ressortait en effet des radiographies effectuées le 15 septembre 2025 et du rapport d’examen du 24 septembre 2025 du Dr E______ que ni le genou gauche ni le genou droit ne présentait de gonarthrose et qu’en l’absence de recul de la médecine actuelle par rapport une technique chirurgicale nouvelle (allogreffe méniscale), il n’était pas possible de prédire l’évolution du cas actuellement, raison pour laquelle il était proposé de procéder à une évaluation de l’IPAI en 2030.</w:t>
      </w:r>
    </w:p>
    <w:p>
      <w:r>
        <w:rPr>
          <w:b/>
        </w:rPr>
        <w:t>E. 7.2</w:t>
      </w:r>
    </w:p>
    <w:p>
      <w:r>
        <w:t>En l’occurrence, il convient d’examiner tout d’abord si le cas était stabilisé au 31 décembre 2024 comme l’intimée l’a retenu sur la base de l’appréciation du 5 mai 2025 du Dr E______ que ce médecin a encore précisée en ces termes le 24 septembre 2025 : une restitution « ad integrum » de ces deux genoux restait impossible en l’état des connaissances médicales actuelles et il n’y avait pas de traitement susceptible de modifier d’une façon durable la capacité de travail qui correspondait à celle qu’il avait définie le 20 septembre 2024. Pour motiver ce point de vue, le Dr E______ s’est référé aux rapports du 12 février 2025 du Dr K______ et du 14 mars 2025 du Dr O______. Sachant que le Dr K______ y fait état d’une évolution exceptionnelle pour le genou gauche et très satisfaisante pour le genou droit, sans moyen chirurgical pour améliorer la situation ni autre rendez-vous prévu avec le patient, et que la seule réserve qu’il émet concerne le genou droit, à savoir une éventuelle tendinopathie rotulienne – non retenue le 14 mars 2025 par le Dr O______ en l’absence d’altération structurelle et de doppler à l’échographie – ayant débouché, in fine, sur la prescription de la poursuite d’un programme de physiothérapie de renforcement par le Dr O______, le fait de retenir une stabilisation de l’état de santé au 31 décembre 2024 n’apparaît pas critiquable.</w:t>
      </w:r>
    </w:p>
    <w:p>
      <w:r>
        <w:rPr>
          <w:b/>
        </w:rPr>
        <w:t>E. 7.2.1</w:t>
      </w:r>
    </w:p>
    <w:p>
      <w:r>
        <w:t>D’avis contraire, le recourant ne conteste pas la stabilisation du cas dans son principe, mais uniquement la date du 31 décembre 2024 retenue par l’intimée. À l’appui de sa position, il fait valoir que cette stabilisation ne serait intervenue que le 31 mars 2025, étant donné que la physiothérapie se poursuivait, qu’il a dû se soumettre à un bilan de force aux HUG le 16 janvier 2025 et qu’il s’est rendu aux consultations des Drs K______ et O______ les</w:t>
      </w:r>
    </w:p>
    <w:p>
      <w:r>
        <w:rPr>
          <w:b/>
        </w:rPr>
        <w:t>E. 7.2.2</w:t>
      </w:r>
    </w:p>
    <w:p>
      <w:r>
        <w:t>Dans un deuxième moyen, le recourant reproche à l’intimée d’avoir mis fin aux indemnités journalières par courrier du 5 décembre 2024 sans rendre une décision formelle sur ce point précis. Ce grief s’avère également infondé pour les motifs suivants :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 comme c’est le cas en l’occurrence –, il y a lieu d’admettre qu’il refuse également formellement la poursuite du versement de l’indemnité journalière et de la prise en charge du traitement médical (cf. arrêt du Tribunal fédéral 8C_619/2018 du 7 mars 2019 consid. 3.3). Par ailleurs, l’assureur-accidents ne peut pas statuer définitivement sur la fin du droit aux indemnités journalières et au traitement médical avant de statuer sur le droit à la rente, en raison du rapport étroit existant entre ces prestations (ATF 144 V 354 consid. 4 ; arrêt du Tribunal fédéral 8C_388/2023 du 10 avril 2024 consid. 5.3).</w:t>
      </w:r>
    </w:p>
    <w:p>
      <w:r>
        <w:rPr>
          <w:b/>
        </w:rPr>
        <w:t>E. 7.2.3</w:t>
      </w:r>
    </w:p>
    <w:p>
      <w:r>
        <w:t>Dans un troisième moyen, le recourant soutient que le versement des indemnités journalières devrait de toute manière se poursuivre non seulement jusqu’au 31 mars 2025 (cf. ci-dessus : consid. 7.2.1) mais aussi jusqu’à ce que la décision en matière AI, rendue le 10 septembre 2025 dans la procédure parallèle A/3088/2025, également pendante devant la chambre de céans, soit devenue définitive. Il invoque à cet égard l’art. 70 LPGA. Selon l’art. 70 LPGA, l’ayant droit peut demander la prise en charge provisoire de son cas lorsqu’un événement assuré lui donne droit à des prestations d’une assurance sociale mais qu’il y a doute sur le débiteur de ces prestations (al. 1). Sont tenues de prendre provisoirement le cas à leur charge : l’assurance-maladie, pour les prestations en nature et les indemnités journalières dont la prise en charge par l’assurance-maladie, l’assurance-accidents, l’assurance militaire ou l’OAI est contestée (let, a) ; l’assurance-chômage, pour les prestations dont la prise en charge par l’assurance-chômage, l’assurance-maladie, l’assurance-accidents, l’assurance militaire ou l’AI est contestée (let. b) ; l’assurance-accidents, pour les prestations dont la prise en charge par l’assurance-accidents ou l’assurance militaire est contestée (let. c) ; la prévoyance professionnelle vieillesse, survivants et invalidité au sens de la LPP, pour les rentes dont la prise en charge par l’assurance-accidents ou l’assurance militaire ou par la prévoyance professionnelle vieillesse, survivants et invalidité au sens de la LPP est contestée (let. d) (al. 2).</w:t>
      </w:r>
    </w:p>
    <w:p>
      <w:r>
        <w:t>A/3844/2025 - 29/40 - L’obligation d’un assureur social de prendre provisoirement le cas à sa charge ne peut être invoquée que lorsqu’un cas d’assurance donnant droit à des prestations sociales est survenu. L’art. 70 al. 1 LPGA précise ainsi que les avances ne peuvent être réclamées dans les cas où le cas d’assurance ne s’est pas réalisé et où les conditions d’octroi des prestations spécifiques à l’assurance sociale concernée ne sont pas remplies dans le cas particulier. Cette prémisse est clairement énoncée à l’art. 71 LPGA, selon laquelle l’assureur tenu de prendre provisoirement le cas à sa charge alloue les prestations « selon les dispositions régissant son activité », c’est-à-dire conformément aux dispositions qui lui sont applicables (ATF 146 V 129 consid. 4.3 ; Marc HÜRZELER, in Basler Kommentar, Allgemeiner Teil des Sozialversicherungsrechts, 2020, n. 70 ad art. 70 LPGA). En conséquence, l’art. 70 LPGA ne fonde pas un droit propre aux indemnités journalières LAA au-delà de la stabilisation du cas. On relèvera enfin qu’en l’espèce, des « mesures de réadaptation de l’assurance-invalidité » (cf. art. 19 al. 1 LAA) n’étaient pas en cours au 31 décembre 2024, de sorte que l’intimée était fondée à mettre fin à la prise en charge des frais de traitement et au paiement des indemnités journalières à cette date. 8. Dans la mesure où le versement d’une rente d’invalidité intervient au moment où prend fin le droit à une indemnité journalière, il reste à examiner si le recourant peut prétendre à une telle rente à compter du 1er janvier 2025. 8.1 En l’espèce, il est constant que malgré les allogreffes des ménisques internes réalisées le 23 novembre 2021 au genou gauche et le 9 janvier 2024 au genou droit, le recourant ne peut plus exercer son activité antérieure de nettoyeur en bâtiment. À cet égard, le Dr E______ – dont les appréciations sont à la base de la décision litigieuse – est d’avis que le profil de capacités établi le 10 juin 2021 par la Dre J______ reste d’actualité et permet de retenir l’exigibilité à plein temps, et sans diminution de rendement, d’une activité adaptée (i.e. permettant une alternance des positions assise et debout et évitant la montée et descente d’escaliers, les marches en terrain accidenté, les marches prolongées répétitives, les agenouillements et accroupissements, ainsi que le port répété de charges de plus de 15 kg ; cf. appréciation du Dr E______ du 20 septembre 2024, confirmée les 5 mai et 24 septembre 2025, à l’issue de l’examen médical du recourant du 1er septembre 2025). Fondée sur une connaissance approfondie du dossier et comportant un examen du recourant, ainsi que des conclusions motivées et cohérentes, cette appréciation de la capacité de travail résiduelle du recourant peut en principe se voir reconnaître valeur probante, sous réserve que des avis médicaux divergents et les arguments du recourant ne mettent pas en doute la pleine exigibilité d’une activité adaptée à partir du 1er janvier 2025.</w:t>
      </w:r>
    </w:p>
    <w:p>
      <w:r>
        <w:t>A/3844/2025 - 30/40 - 8.1.1 La chambre de céans constate que même s’ils ne prennent pas position au sujet du profil d’exigibilité défini le 20 septembre 2024, les médecins chargés du suivi du recourant n’expriment pas d’avis dissident. Ainsi, la Dre N______ consisdère que la reprise de l’activité de nettoyeur en bâtiment n’est pas recommandée et une adaptation du travail indiquée (rapport du 2 octobre 2024). Le Dr K______ s’exprime dans le même sens (rapport du 17 décembre 2024), ainsi que l’expert M______ (rapport d’expertise du 28 octobre 2022), ce dernier renvoyant au profil d’exigibilité défini le 10 juin 2021 par la Dre J______, à l’image du Dr E______. Pour le surplus, on relève certes que dans une attestation du 4 décembre 2022, le Dr I______ mentionnait une capacité de travail nulle dans toute activité. On comprend toutefois à la lecture de ce rapport que l’inexigibilité de toute activité – même adaptée – est motivée par les doutes que le Dr I______ exprimait au sujet d’une technique nouvelle (allogreffe méniscale) et la crainte que l’assuré, en travaillant, développe une arthrose qui le ferait sortir des critères d’éligibilité à une greffe méniscale au genou droit. Force est toutefois de constater qu’à l’époque de l’attestation du Dr I______, le Dr K______, qui avait lui-même réalisé la greffe méniscale au genou gauche, était d’avis contraire en tant qu’il estimait que l’assuré pouvait uniquement exercer un travail adapté en position assise, avec des périodes en position debout comprises entre un minimum de 20 minutes et ce, depuis 2021 (cf. rapport du 17 janvier 2023 du Dr K______). En outre, l’avis du Dr I______ du 4 décembre 2022 est contredit par le rapport d’expertise du Dr M______, rendu à la même époque, soit après la greffe méniscale au genou gauche mais avant celle au genou droit. Or, le Dr I______ n’explique pas quel élément objectivement vérifiable aurait été ignoré par cet expert. On constate enfin qu’hormis de nombreux certificats d’arrêts de travail, le Dr I______ n’a plus versé de rapport médical au dossier, le dernier en date remontant au 21 août 2023 et consistant en un simple récapitulatif du suivi médical (dossier SUVA, doc. 432). Enfin, en tant que l’attestation du 4 décembre 2022 du Dr I______ est impropre à retracer l’évolution du cas jusqu’à la décision litigieuse, elle n’est pas non plus de nature à mettre en doute les appréciations du Dr E______, sur lesquelles se fonde la décision attaquée. 8.1.2 Il sied enfin de constater que le recourant ne conteste pas lui-même l’exigibilité de la reprise d’une activité adaptée une fois son état de santé stabilisé. Dans son recours, il fait cependant valoir qu’il ne pourrait travailler qu’à 80%. En tant que cette assertion n’est appuyée par aucun rapport médical, elle n’est cependant pas de nature à mettre en doute les appréciations du Dr E______. En conséquence, la chambre de céans considère qu’il est établi, au degré requis de la vraisemblance prépondérante, qu’au moment où l’intimée a mis fin au paiement des indemnités journalières et des soins, soit au 31 décembre 2024 – ce qu’elle était fondée à faire à cette date (ci-dessus : consid. 7.2 et ss.) –, l’exercice</w:t>
      </w:r>
    </w:p>
    <w:p>
      <w:r>
        <w:t>A/3844/2025 - 31/40 - d’une activité respectant les limitations fonctionnelles fixées par le Dr E______ était exigible à plein temps et sans diminution de rendement. 8.2 Pour procéder à la comparaison des revenus, il convient de se placer au moment de la naissance du droit à la rente, soit au 1er janvier 2025 dans le cas particulier. On précisera que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8.2.1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À noter que le revenu usuel d’une branche peut également être déterminé au moyen des minima salariaux prévus dans une CCT étendue, ceux-ci représentant, de manière plus précise que l’ESS, les revenus spécifiques à cette branche (arrêt du Tribunal fédéral 8C_562/2023 du 29 mai 2024 consid. 4.1.2 et 4.1.3).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 Lorsque le salaire réalisé en dernier lieu par l’assuré avant l’atteinte à la santé est inférieur au salaire minimum prévu par une CCT, il n’y a pas lieu, dans le cadre</w:t>
      </w:r>
    </w:p>
    <w:p>
      <w:r>
        <w:t>A/3844/2025 - 32/40 - de la comparaison des revenus, de mettre l’assuré au bénéfice d’un revenu sans invalidité purement fictif correspondant à ce minimum salarial afin de nier, sur cette base, le caractère inférieur à la moyenne de ce revenu. C’est plutôt le revenu effectivement perçu qui est déterminant. Ce n’est que dans un second temps qu’il y a lieu de se demander, en vue d’une éventuelle mise en parallèle des revenus, si les circonstances permettent ou non de supposer que l’assuré s’est contenté d’un salaire plus modeste que celui auquel il aurait pu prétendre (arrêt du Tribunal fédéral 8C_528/2021 du 3 mai 2021 consid. 8.3.3). Toutefois, lorsque le salaire effectivement réalisé correspond au minimum prévu par une convention collective de travail (CCT), il ne peut pas être qualifié d’inférieur à la moyenne. Dans un tel cas, il n’y a pas lieu d’appliquer la règle du parallélisme des revenus (arrêt du Tribunal fédéral 8C_677/2021 du 31 janvier 2022 consid. 4.2.2 et les références). 8.2.2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la table TA1_skill_ level (ATF 142 V 178).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w:t>
      </w:r>
    </w:p>
    <w:p>
      <w:r>
        <w:t>A/3844/2025 - 33/40 -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8.2.2.1.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Le cas échéant, il y a lieu d’adapter le salaire statistique à l’évolution des salaires nominaux en appliquant soit le chiffre définitif de l’indice suisse des salaires nominaux (ISS) publié au moment déterminant de la décision litigieuse, soit la plus récente estimation trimestrielle (ATF 143 V 295 consid. 4.1.3 ; arrêt du Tribunal fédéral 8C_659/2022 du 2 mai 2023 consid. 7.2). 8.2.2.2.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w:t>
      </w:r>
    </w:p>
    <w:p>
      <w:r>
        <w:t>A/3844/2025 - 34/40 -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8.2.3 En l’espèce, l’intimée a fixé le degré d’invalidité du recourant à 0% en 2025 sur la base du raisonnement et des calculs suivants : Elle a déterminé le revenu avec invalidité sur la base de l’ESS, plus précisément en se référant à la table TA1 (tirage « skill level »), secteur privé, tous secteurs confondus (ligne « total »). Selon cette statistique, un homme pouvait réaliser, dans une activité simple et répétitive (niveau 1), un revenu mensuel de CHF 5’305.- selon l’ESS 2022, soit CHF 63’660.- par année. En tenant compte de la durée hebdomadaire normale de travail s’élevant à 41.7 heures, le revenu avec invalidité se montait à CHF 65’365.55 par année (CHF 63’660.- x 41.7 / 40 = CHF 65’365.55), ce qui représentait CHF 67’493.76 en 2023, CHF 68’303.69 en 2024 et CHF 69’874.67 en 2025, vu la hausse des salaires nominaux pour les hommes, s’établissant à 1.7% en 2023, 1.2% en 2024 (ISS ; T1.1.10) et à 2.3% en 2025, selon l’estimation relative au 2e trimestre disponible au moment de la décision litigieuse. En accordant un abattement de 5%, le revenu avec invalidité s’élevait à CHF 66’381.- (soit CHF 69’874.67 sous déduction de 5% de ce montant). S’agissant du revenu sans invalidité, l’intimée l’a fixé à CHF 56'195.- en se référant à la CCT du secteur du nettoyage pour la Suisse romande, étendue par arrêté du Conseil fédéral du 14 mars 2018 (FF 2018 1505). Elle a considéré que le recourant entrait, en 2025, dans la catégorie N4 (« nettoyage spécifique et de chantier » pour un nettoyeur sans qualification, depuis plus de 4 ans dans la branche). À ce titre, ladite CCT lui garantissait un salaire minimum de CHF 24.42 pour l’année en question. Compte tenu de la durée hebdomadaire maximum de 43 heures (art. 10 al. 1 CCT), du nombre de semaines par an (52) et de son droit à un 13e salaire, calculé à raison de 8.33% (cf. art. 9 CCT), ce salaire conventionnel représentait CHF 59’152.- (soit 24.42 x 43 x 52 x 108.33%). Cependant, dans la mesure où le revenu prévu dans le contrat individuel de travail ne respectait pas les minima de la CCT, il y avait lieu de le paralléliser à concurrence du 95% du montant prévu par la CCT en 2025, soit de l’augmenter à CHF 56’195.-. En comparant le revenu avec invalidité (CHF 66’381.-) au revenu sans invalidité (CHF 56’195.-), la perte de gain était nulle et le degré d’invalidité ne l’était pas moins. Concernant tout d’abord la date de la comparaison des revenus (2025), la chambre de céans constate qu’elle est correcte dès lors qu’elle correspond à l’année de naissance d’une éventuelle rente.</w:t>
      </w:r>
    </w:p>
    <w:p>
      <w:r>
        <w:t>A/3844/2025 - 35/40 - Quant au revenu avec invalidité, il n’apparaît pas critiquable non plus en tant qu’il se réfère à la table TA1 (tirage « skill level »), secteur privé, tous secteurs confondus (ligne « total »). On peut tout au plus se demander si un abattement supérieur à 5% se justifierait en l’occurrence. À cet égard, l’intimée expose que les seules limitations fonctionnelles ne justifieraient pas d’abattement en soi mais qu’au vu des conditions d’établissement du recourant (permis C impliquant une différence salariale de 4.2% par rapport au salaire médian des Suisses et étrangers sans fonction de cadre ; table T12b) un abattement de 5% serait indiqué. Sachant que pour des limitations fonctionnelles comparables à celles ici en cause et découlant d’atteintes aux membres inférieurs, le Tribunal fédéral a confirmé l’absence d’abattement à ce titre (cf. notamment : arrêts du Tribunal fédéral 8C_860/2018 du 6 septembre 2019 consid. 6.3.3 ; 8C_219/2019 du 30 septembre 2019 consid. 5.2 ; 8C_659/2021 du 17 février 2022 consid. 4.1 et 4.4), respectivement un abattement de 5% (arrêts du Tribunal fédéral 8C_227/2017 du 17 mai 2018 consid. 5 et 8C_59/2021 du 18 mai 2021 consid. 4.4), la question de savoir si l’ensemble des facteurs pertinents mériteraient que la déduction totale fût portée à 10% – à l’instar de ce qu’a considéré l’OAI dans sa décision du 8 septembre 2025 (Dossier SUVA, doc. 655, p. 3) – peut rester indécise comme il sera démontré ci-après. On rappellera par ailleurs que l’évaluation de l’invalidité par l’assurance-invalidité n’a pas de force contraignante pour l’assureur-accidents (et vice-versa ; cf. arrêt du Tribunal fédéral 8C_679/2020 du 1er juillet 2021 consid. 5.1). La détermination du revenu sans invalidité appelle en revanche les observations suivantes : on rappellera tout d’abord que lorsque le salaire effectivement réalisé correspond au minimum prévu par une CCT, il ne peut être qualifié d’inférieur à la moyenne. On ajoutera que dans un tel cas, il n’y a pas lieu d’appliquer la règle du parallélisme des revenus (cf. ci-dessus : consid. 8.2.1 in fine). En l’espèce, il est exact qu’en qualité de nettoyeur, le recourant était soumis à la CCT du secteur du nettoyage pour la Suisse romande précitée et qu’en tant que nettoyeur sans qualification (catégorie N40), il aurait eu droit à un salaire horaire de CHF 24.42, respectivement CHF 59’152.- par an pour 43 heures hebdomadaires en 2025. Il sied toutefois de relever que selon les indications de l’employeur (dossier SUVA, doc. 1), le recourant travaillait certes à plein temps mais à raison de 40 heures par semaine. Avec cet horaire, il réalisait un salaire de CHF 3’900.-, versé treize fois l’an, correspondant à CHF 50’700.- en 2019. Dans la mesure où les minima salariaux de la CCT prévoyaient un salaire horaire de CHF 21.70 en 2019, correspondant à CHF 48’896.- par an (soit 21.70 x 40 x 52 x 108.33) pour un nettoyeur sans qualification avec l’ancienneté acquise à cette époque (catégorie N1 au moment de l’accident), l’affirmation de l’intimée selon laquelle « le salaire perçu en 2019 était déjà inférieur à la CCT de ce secteur d’activité pour l’année en question » (dossier SUVA, doc. 631, p. 2) se révèle inexacte. Étant donné que le revenu de CHF 50’700.- ne peut pas être qualifié d’inférieur à la moyenne, il ne faut ni le remplacer par le revenu fixé par la CCT pour 43 heures hebdomadaires</w:t>
      </w:r>
    </w:p>
    <w:p>
      <w:r>
        <w:t>A/3844/2025 - 36/40 - (cf. arrêt du Tribunal fédéral 8C_528/2021 précité) ni le paralléliser (cf. arrêt du Tribunal fédéral 8C_677/2021 précité), mais effectuer la comparaison des revenus sur la base de celui-ci après indexation à l’ISS (table T39), ce qui aboutit à CHF 52’769.- (soit CHF 50’700 x 2’372 / 2’279) pour 2024 et CHF 53’983.- pour 2025 en tenant compte de la hausse de 2.3% prévue dans l’estimation relative au deuxième trimestre. En comparant ce dernier montant au revenu avec invalidité (CHF 66’381.-), la perte de gain et le degré d’invalidité resteraient nuls. On constate qu’il en serait de même en accordant un abattement de 10% sur le revenu avec invalidité (CHF 62’887.- ; soit CHF 69’874.67 sous déduction de 10%). Il s’ensuit que s’agissant du taux d’invalidité (0%), la décision litigieuse apparaît de toute manière correcte dans son résultat, de sorte que le recourant ne peut se voir accorder de rente d’invalidité au 1er janvier 2025. 9. Il reste à examiner si le recourant peut prétendre à une IPAI. 9.1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RS 832.202 – OLAA).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 Les « aggravations prévisibles » au moment de la fixation de l’indemnité pour atteinte à l’intégrité doivent être prises en compte. Sont considérées comme telles les aggravations dont la survenance est vraisemblable et l’importance quantifiable. Une aggravation future peut donc être prise en compte dès la première évaluation de l’atteinte à l’intégrité si elle peut être prévue au degré de la vraisemblance prépondérante. Une aggravation qui n’est que possible ne suffit pas (arrêt du Tribunal fédéral U 320 du 9 juillet 1998 consid. 3b, publié in RAMA 6/1998, p. 602 ; Thomas FREI, in Marc HÜRZELER / Ueli KIESER [éd.], Kommentar zum schweizerischen Sozialversicherungsrecht, UVG, 2018, n. 36 ad art. 25 LAA). L’IPAI n’est pas sujette à révision au sens de l’art. 17 LPGA. En cas d’aggravation non prévisible, l’assuré a toujours la possibilité d’annoncer le cas sous forme d’une rechute ou de suites tardives qui pourront, le cas échéant, justifier le versement d’une indemnité complémentaire. Pour cette situation,</w:t>
      </w:r>
    </w:p>
    <w:p>
      <w:r>
        <w:t>A/3844/2025 - 37/40 - l’art. 36 al. 4, deuxième phrase, OLAA prévoit la possibilité d’une « révision » à titre exceptionnel, pour autant que l’aggravation soit importante (Jean-Maurice FRESARD / Margit MOSER-SZELESS, L’assurance-accidents obligatoire, in MEYER [éd.], Schweizerisches Bundesverwaltungsrecht [SBVR], vol. XIV, Sécurité sociale, 3e éd. 2016, p. 1003, n. 327). 9.2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 / MOSER-SZELESS, op. cit., p. 998,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 113 V 218 consid. 4b ; RAMA 2004 n. U 514 p. 415 ; U 134/03 consid. 5.2 ;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 / MOSER-SZELESS, op. cit., p. 1000, n. 317).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w:t>
      </w:r>
    </w:p>
    <w:p>
      <w:r>
        <w:t>A/3844/2025 - 38/40 - cas de perte partielle d’un organe ou de son usage, l’indemnité pour atteinte à l’intégrité est réduite en conséquence ;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 U 245/96 consid. 2a). Il ressort de la table 5 de la SUVA, traitant de l’atteinte à l’intégrité résultant d’arthroses, qu’une IPAI de 5 à 15% est prévue en cas d’arthrose fémoro-tibiale « moyenne ». En présence d’une arthrose « grave » du même type, l’IPAI prévue est comprise entre 15 et 30%. 9.3 Faisant siennes les appréciations du Dr E______, l’intimée a refusé l’octroi d’une IPAI au recourant. Ce médecin a considéré dans son appréciation du 20 septembre 2024, qu’il n’y avait pas d’estimation à envisager pour une éventuelle IPAI qu’il proposait de réévaluer dans un délai de cinq ans, compte tenu de la technique chirurgicale nouvelle mise en œuvre (greffe des ménisques internes aux genoux gauche et droit), dont les résultats à long terme étaient insuffisamment connus à ce jour. Après que l’assuré eut relevé, dans son opposition à la décision du 23 mai 2025, que l’expert M______ mentionnait que les radiographies du jour qu’il avait fait effectuer (« schuss, axiale de rotule, profil des 2 genoux » ; dossier SUVA, doc. 366, p. 14) révélaient une arthrose de stade II selon la SFA (classification de la Société française d’arthroscopie) ou de stade I selon Ahlbäck, le Dr E______ a fait effectuer de nouvelles radiographies le 15 septembre 2025, sur la base desquelles il a estimé dans son rapport du 24 septembre 2025 que contrairement à ce qui avait été évoqué par le Dr M______ en 2022, le bilan radiologique le plus récent en 2025 confirmait l’absence de gonarthrose aux deux genoux, relevant que l’évaluation du Dr M______ avait été faite en 2022 et ne prenait donc pas en considération les suites opératoires des greffes méniscales à moyen terme. Le recourant estime en synthèse qu’il serait contraire à la logique médicale que l’arthrose constatée en 2022 par le Dr M______ ait subitement disparu en 2025. Pour appuyer sa thèse d’une dégradation arthrosique toujours en cours, il a commenté personnellement les images d’une IRM réalisée le 2 octobre 2025 aux HUG en soutenant qu’une IRM était plus éloquente à ce sujet que les radiographies du 15 septembre 2025. La chambre de céans constate pour sa part que selon le rapport du</w:t>
      </w:r>
    </w:p>
    <w:p>
      <w:r>
        <w:rPr>
          <w:b/>
        </w:rPr>
        <w:t>E. 12</w:t>
      </w:r>
    </w:p>
    <w:p>
      <w:r>
        <w:t>février et</w:t>
      </w:r>
    </w:p>
    <w:p>
      <w:r>
        <w:rPr>
          <w:b/>
        </w:rPr>
        <w:t>E. 14</w:t>
      </w:r>
    </w:p>
    <w:p>
      <w:r>
        <w:t>mars 2025. Les arguments du recourant ne se révèlent pas pertinents. Il sied de constater tout d’abord que le rapport du 12 février 2025 du Dr K______ conclut à l’absence de moyen pour améliorer la situation et, par voie de conséquence, à l’absence d’amélioration « sensible » au sens de l’art. 19 al. 1 LAA (ci-dessus : consid. 3.3). En second lieu, il ne ressort pas davantage du rapport du 14 mars 2025 du Dr O______ que la suite du traitement que ce praticien a prescrite répondrait à la condition d’une amélioration sensible. On rappellera en effet que ni la possibilité très éloignée d’un résultat positif lié à la continuation d’un traitement médical,</w:t>
      </w:r>
    </w:p>
    <w:p>
      <w:r>
        <w:t>A/3844/2025 - 28/40 - ni de petits progrès attendus du fait d’autres mesures – comme la physiothérapie de renforcement ici prescrite –, ne confèrent un droit à de plus amples prestations de la part de l’assureur-accidents (ci-dessus : consid. 3.3).</w:t>
      </w:r>
    </w:p>
    <w:p>
      <w:r>
        <w:rPr>
          <w:b/>
        </w:rPr>
        <w:t>E. 15</w:t>
      </w:r>
    </w:p>
    <w:p>
      <w:r>
        <w:t>septembre 2025 des Drs P______ et Q______, l’examen permet de conclure à</w:t>
      </w:r>
    </w:p>
    <w:p>
      <w:r>
        <w:t>A/3844/2025 - 39/40 - un léger pincement du compartiment interne (au genou gauche comme au genou droit) à mettre en rapport avec une intervention sur le ménisque, étant précisé qu’il n’y avait pas de modelé arthrosique ou d’atteinte érosive. Quant aux rapports du 2 octobre 2025 des Drs R______ et S______ – que le recourant a finalement produits le 19 janvier 2026 –, ceux-ci relèvent qu’à l’exception de lésions cartilagineuses focales sur la voie d’abord chirurgicale et, côté gauche, un discret amincissement du cartilage en fémoro-patellaire, il n’y avait de chondropathie ni au genou gauche ni au genou droit. Il s’ensuit que ces rapports ne contredisent ni les radiographies du 15 septembre 2025 ni le rapport du 24 septembre 2025 du Dr E______, mais qu’ils confirment au contraire l’absence d’arthrose aux genoux gauche et droit. On peut certes être tenté d’objecter que sur ce point, le Dr E______ s’écarte tout de même de l’appréciation que l’expert M______ a faite en 2022. Cependant, les suites opératoires des greffes méniscales à moyen terme, que le Dr E______ a documentées – via son examen clinique du 1er septembre 2025 et, surtout, les radiographies du 15 septembre 2025 – constituent des éléments objectivement vérifiables que l’expert M______ ne pouvait nécessairement pas connaître au moment de son appréciation et qui sont suffisamment pertinents pour que l’on considère qu’il est établi, au degré de la vraisemblance prépondérante, que le recourant ne présentait pas de gonarthrose à la date de la décision litigieuse. S’agissant enfin du droit à une IPAI, point sur lequel ni l’expert M______ ni aucun autre médecin ne se prononce à la lumière de l’état de fait prévalant à la date précitée, le Dr E______ explique de manière claire que l’examen médical des deux genoux, qui était normal en 2025, ne remplit pas, en l’état, les conditions d’octroi d’une telle indemnité et que la médecine actuelle ne dispose pas de recul suffisant pour prédire « à distance » les résultats de greffes méniscales, étant donné qu’il s’agit d’une technique nouvelle. À la lumière de l’art. 36 al. 4 OLAA, la prudence affichée par le Dr E______ n’apparaît pas critiquable. Elle signifie simplement que les aggravations futures ne peuvent pas être prises en compte dès la première évaluation de l’IPAI faute d’être établies au degré de la vraisemblance prépondérante et qu’il incombera au recourant, si une aggravation ultérieure importante se produit, de demander une « révision » au sens de l’art. 36 al. 4 OLAA, deuxième phrase, OLAA (cf. ci-dessus : consid. 9.1). La décision attaquée apparaît donc conforme au droit en tant qu’elle refuse également l’octroi d’une IPAI au recourant. 10. Il s’ensuit que le recours ne peut qu’être rejeté. La procédure est gratuite (art. 61 let. fbis LPGA a contrario).</w:t>
      </w:r>
    </w:p>
    <w:p>
      <w:r>
        <w:t>*****</w:t>
      </w:r>
    </w:p>
    <w:p>
      <w:r>
        <w:t>A/3844/2025 - 40/40 -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