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ATAS/233/2022 vom 15. März 2022</w:t>
      </w:r>
    </w:p>
    <w:p>
      <w:r>
        <w:t>GE Cour de justice, 2022-03-15, FR</w:t>
      </w:r>
    </w:p>
    <w:p>
      <w:r>
        <w:rPr>
          <w:b/>
        </w:rPr>
        <w:t xml:space="preserve">Quelle: </w:t>
      </w:r>
      <w:r>
        <w:t>https://mcp.opencaselaw.ch/entscheid/ge_gerichte_ATAS_233_2022</w:t>
      </w:r>
    </w:p>
    <w:p>
      <w:r>
        <w:t>FR: GE_GERICHTE ATAS/233/2022 du 15 mars 2022</w:t>
      </w:r>
    </w:p>
    <w:p>
      <w:r>
        <w:t>IT: GE_GERICHTE ATAS/233/2022 del 15 marzo 2022</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avant l'entrée en vigueur, le 1er janvier 2017, des nouvelles dispositions relatives au partage de la prévoyance</w:t>
      </w:r>
    </w:p>
    <w:p>
      <w:r>
        <w:t>A/844/2020 6/10 professionnelle en cas de divorce, la chambre de céans applique les dispositions légales dans leur ancienne teneur (art. 7d Tit. fin. CC).</w:t>
      </w:r>
    </w:p>
    <w:p>
      <w:r>
        <w:rPr>
          <w:b/>
        </w:rPr>
        <w:t>E. 2</w:t>
      </w:r>
    </w:p>
    <w:p>
      <w:r>
        <w:t>L'art. 25a LFLP règle la procédure en cas de divorce. Selon son al. 1, en cas de désaccord des conjoints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2.5</w:t>
      </w:r>
    </w:p>
    <w:p>
      <w:r>
        <w:t>% de 2005 à 2007, 2.75 % en 2008, 2 % de 2009 à 2011, 1.5 % de 2012 à 2013, 1.75 % de 2014 à 2015, 1.25 % en 2016 et 1 % dès le 1er janvier 2017. En l’occurrence, les intérêts dus au demandeur sur la somme existant au jour du mariage ont déjà été calculés par les institutions de prévoyance défenderesses. Que la prestation de prévoyance due au conjoint créancier constitue un avoir de prévoyance auprès d'une institution de prévoyance ou un avoir de libre passage auprès d'une institution de libre passage, le principe du calcul continu des intérêts déduit de l'art. 2 al. 3 LFLP doit s'appliquer sans distinction, le taux prévu par l'art. 12 OPP 2 étant déterminant, à défaut de taux réglementaire plus élevé (arrêt du Tribunal fédéral 9C_149/2017 du 10 octobre 2017 consid. 5.2.4).</w:t>
      </w:r>
    </w:p>
    <w:p>
      <w:r>
        <w:rPr>
          <w:b/>
        </w:rPr>
        <w:t>E. 3</w:t>
      </w:r>
    </w:p>
    <w:p>
      <w:r>
        <w:t>Selon l'art. 22 LFLP, en cas de divorce, les prestations de sortie acquises durant le mariage sont partagées conformément aux art. 122 et 123 CC et aux art. 280 et 281 CPC ;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Les paiements en espèces effectués durant le mariage ne sont pas pris en compte (al. 2). Ces versements doivent être compensés dans le cadre du jugement de divorce (art. 124 CC ; ATF 132 V 332 consid. 3).</w:t>
      </w:r>
    </w:p>
    <w:p>
      <w:r>
        <w:rPr>
          <w:b/>
        </w:rPr>
        <w:t>E. 4</w:t>
      </w:r>
    </w:p>
    <w:p>
      <w:r>
        <w:t>Par ailleurs, selon les art. 8a de l'ordonnance fédérale sur le libre passage dans la prévoyance professionnelle vieillesse, survivants et invalidité du 3 octobre 1994 (ordonnance sur le libre passage, OLP - RS 831.425) et 12 OPP 2, le taux d'intérêt applicable aux prestations de sortie et de libre passage acquises au moment de la conclusion du mariage et aux versements uniques effectués jusqu’au moment du divorce est de 4 % jusqu'au 31 décembre 2002, 3.25 % en 2003, 2.25 % en 2004,</w:t>
      </w:r>
    </w:p>
    <w:p>
      <w:r>
        <w:rPr>
          <w:b/>
        </w:rPr>
        <w:t>E. 5</w:t>
      </w:r>
    </w:p>
    <w:p>
      <w:r>
        <w:t>Conformément au principe inquisitoire qui régit la procédure dans le domaine des assurances sociales, le juge des assurances sociales doit procéder à des investigations supplémentaires ou en ordonner lorsqu'il y a suffisamment de raisons</w:t>
      </w:r>
    </w:p>
    <w:p>
      <w:r>
        <w:t>A/844/2020 7/10 pour le faire, eu égard aux griefs invoqués par les parties ou aux indices résultant du dossier. Il ne peut ignorer des griefs pertinents invoqués par les parties pour la simple raison qu'ils n'auraient pas été prouvés (VSI 5/1994 220 consid. 4a).</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le juge de première instance genevois a ordonné le partage par moitié des prestations de sortie acquises durant le mariage par les demandeurs. Les dates pertinentes sont, d’une part, celle du mariage, le 9 septembre 1995, d’autre part, le 30 janvier 2016, date à laquelle le jugement de divorce prononcé en France est devenu exécutoire.</w:t>
      </w:r>
    </w:p>
    <w:p>
      <w:r>
        <w:rPr>
          <w:b/>
        </w:rPr>
        <w:t>E. 8</w:t>
      </w:r>
    </w:p>
    <w:p>
      <w:r>
        <w:t>La chambre de céans a enquêté de manière exhaustive pour établir les avoirs LPP du demandeur, interrogeant à plusieurs reprises les institutions concernées. S’agissant des prestations de libre passage au jour du mariage du demandeur, la chambre de céans a examiné le point soulevé par la demanderesse. La chambre de céans se réfère aux courriers et aux extraits du compte d’avoir de prévoyance produits par la Fondation institution supplétive LPP à Zurich les 16 décembre 2020 et 28 octobre 2021, desquels il ressort que la prestation de libre passage au jour du mariage, soit au 9 septembre 1995, s’élevait à CHF 6'750.- sans intérêts et à CHF 11'931.01 avec intérêts, et que l’entrée dans l’institution de prévoyance par le demandeur datait du 1er juin 1996 suite à un versement de CHF 6'750.50 de C______-Holding AG, laquelle, selon l’extrait du registre du commerce, avait été radiée le 28 février 2014 et n’a donc pas pu être interpelée par la chambre de céans. La chambre de céans relève que, selon ces documents, il ne ressort aucun virement de la part de Swiss Life SA, ni de la Vaudoise (actuellement Swiss Life SA). Par téléphone du 27 janvier 2022, la Fondation institution supplétive LPP à Zurich a indiqué ne pas avoir l’information du nom de l’employeur affilié à la caisse C______-Holding AG et confirmé que le montant de CHF 6'750.50 versé par ladite caisse correspondait bien au montant de l’avoir au mariage figurant sur les extraits de compte produits. La chambre de céans se réfère également au courrier de Swiss Life SA du 2 juillet 2021 aux termes duquel Swiss Life SA a déclaré que le demandeur avait</w:t>
      </w:r>
    </w:p>
    <w:p>
      <w:r>
        <w:t>A/844/2020 8/10 été « affilié dans le contrat de ‶ D______ AG ″, contrat assuré auprès de la Vaudoise Assurances du 01.05.1991 au 31.08.1992 ; la prestation de sortie de CHF 6'727.75 a été utilisée pour la conclusion de la police de libre passage […] (anciennement ex-Vaudoise) ». De plus, par courrier du 20 août 2021, Swiss Life SA a précisé que le demandeur avait été « assuré dans le contrat collectif ex-Vaudoise Vie N° 1______ de ‶ D______ AG ″ du 01.05.1991 jusqu’au 31.08.1992. À la fin du contrat de travail, la prestation de libre passage de CHF 6'727.75 (prestation de sortie de CHF 6'354.15 + les intérêts de CHF 186.85 jusqu’au 01.12.1993) a été utilisée pour la conclusion au 01.12.1993 de la police de libre passage ex-Vaudoise Vie. Cette police porte le numéro 2______ du fait que Swiss Life a repris le portefeuille de l’assurance vie collective de la Vaudoise en 2005. La police N° 2______ (anciennement police ex-Vaudoise Vie) est échue depuis le 01.07.2020 et [Swiss Life SA] dét[ient] encore la prestation de vieillesse de CHF 15'186.95 payable sous forme d’un capital ». Ainsi, la prestation de sortie, d’un montant de CHF 6'727.75 (prestation de sortie de CHF 6'354.15 + les intérêts de CHF 186.85 jusqu’au 1er décembre 1993), avait été utilisée le 1er décembre 1993 pour la conclusion d’une police de libre passage ex-Vaudoise Vie (actuellement Swiss Life SA), de sorte que le montant de CHF 6'727.75 n’a pas été transféré à la Fondation institution supplétive LPP à Zurich. Partant, il convient de se fonder sur les documents produits par la Fondation institution supplétive LPP à Zurich et Swiss Life SA, dont il résulte que les montants de CHF 6'750.- sans intérêts (soit CHF 11'931.01 avec intérêts) et CHF 6'745.70 sans intérêts (soit CHF 11'895.35 avec intérêts) sont deux montants distincts et doivent donc être tous deux déduits, en tant qu’avoirs de libre passage existant au moment de la conclusion du mariage, du montant de la prestation de sortie existant au moment du divorce. Compte tenu de ce qui précède, la chambre de céans retiendra que, pour le demandeur, l’avoir de libre passage existant au moment de la conclusion du mariage, intérêts inclus, est de CHF 24'337.76 (11'895.35 + 511.40 + 11'931.01).</w:t>
      </w:r>
    </w:p>
    <w:p>
      <w:r>
        <w:rPr>
          <w:b/>
        </w:rPr>
        <w:t>E. 9</w:t>
      </w:r>
    </w:p>
    <w:p>
      <w:r>
        <w:t>Il sied de préciser que les mesures d’instruction effectuées par la chambre de céans n’ont pas permis de mettre en évidence d'autres avoirs LPP accumulés par les demandeurs durant la période du mariage. Force est à cet égard de rappeler que seules les cotisations effectivement versées peuvent être prises en considération dans le cadre d'une procédure visant au partage des prestations de sortie en matière de prévoyance professionnelle (ATAS/1365/2012 du 13 novembre 2012 consid. 5).</w:t>
      </w:r>
    </w:p>
    <w:p>
      <w:r>
        <w:rPr>
          <w:b/>
        </w:rPr>
        <w:t>E. 10</w:t>
      </w:r>
    </w:p>
    <w:p>
      <w:r>
        <w:t>Aussi, selon les documents produits et les recherches complémentaires effectuées par la chambre de céans, la prestation acquise pendant le mariage par le demandeur est de CHF 207'587.18 (231'924.94 [14'118.35 + 479.20 + 117'556.78 + 15'686.01 + 84'084.60] au jour du divorce devenu définitif et exécutoire, soit au 30 janvier 2016 - 24'337.76 [11'895.35 + 511.40 + 11'931.01] au jour du mariage),</w:t>
      </w:r>
    </w:p>
    <w:p>
      <w:r>
        <w:t>A/844/2020 9/10 les intérêts ayant déjà été calculés par les institutions de prévoyance défenderesses et étant inclus dans ces montants. La demanderesse n’ayant acquis aucun avoir LPP durant le mariage, elle ne dispose pas d'une prestation de sortie sujette à partage. Ainsi le demandeur doit à son ex-épouse le montant de CHF 103'793.59 (CHF 207'587.18 : 2).</w:t>
      </w:r>
    </w:p>
    <w:p>
      <w:r>
        <w:rPr>
          <w:b/>
        </w:rPr>
        <w:t>E. 11</w:t>
      </w:r>
    </w:p>
    <w:p>
      <w:r>
        <w:t>La demanderesse étant domiciliée en France, reste à déterminer si le montant qui lui est dû peut lui être versé en espèces ou s'il doit l'être sur un compte de libre passage ouvert auprès d'une institution de prévoyance suisse. Les conditions du paiement en espèces sont soumises à l'art. 5 LFLP, selon lequel, le conjoint ayant droit peut exiger le paiement en espèces s'il remplit l'une des conditions prévues par cette disposition (ATF 130 III 336 consid. 2.6 ; Thomas GEISER / Christoph SENTI, in SCHNEIDER / GEISER / GÄCHTER [éd.], Commentaire LPP et LFLP, 2ème éd., 2020, n° 35 ad art. 5 LFLP 5 et n° 8 ad art. 22 LFLP). Selon l'art. 5 al. 1 let. a LFLP, l’assuré peut exiger le paiement en espèces de la prestation de sortie lorsqu’il quitte définitivement la Suisse. En conséquence, la demanderesse a droit au paiement en espèces de la prestation de sortie qui lui est due et ce montant sera versé sur son compte auprès de la Caisse d’Épargne Rhône Alpes, conformément à sa demande.</w:t>
      </w:r>
    </w:p>
    <w:p>
      <w:r>
        <w:rPr>
          <w:b/>
        </w:rPr>
        <w:t>E. 12</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13</w:t>
      </w:r>
    </w:p>
    <w:p>
      <w:r>
        <w:t>Aucun émolument ne sera perçu, la procédure étant gratuite (art. 73 al. 2 LPP et 89H al. 1 de la loi sur la procédure administrative du 12 septembre 1985 [LPA-GE - E 5 10]). ***</w:t>
      </w:r>
    </w:p>
    <w:p>
      <w:r>
        <w:t>A/844/2020 10/10</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