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ATAS/233/2020 vom 12. März 2020</w:t>
      </w:r>
    </w:p>
    <w:p>
      <w:r>
        <w:t>GE Cour de justice, 2020-03-12, FR</w:t>
      </w:r>
    </w:p>
    <w:p>
      <w:r>
        <w:rPr>
          <w:b/>
        </w:rPr>
        <w:t xml:space="preserve">Quelle: </w:t>
      </w:r>
      <w:r>
        <w:t>https://mcp.opencaselaw.ch/entscheid/ge_gerichte_ATAS_233_2020</w:t>
      </w:r>
    </w:p>
    <w:p>
      <w:r>
        <w:t>FR: GE_GERICHTE ATAS/233/2020 du 12 mars 2020</w:t>
      </w:r>
    </w:p>
    <w:p>
      <w:r>
        <w:t>IT: GE_GERICHTE ATAS/233/2020 del 12 marzo 2020</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w:t>
      </w:r>
    </w:p>
    <w:p>
      <w:r>
        <w:t>A/4120/2018 - 18/33 - LPA), les dispositions spécifiques que la LAI contient sur la procédure restant réservées (art. 1 al. 1 LAI ; cf. notamment art. 69 LAI). Aux termes de l’art. 60 LPGA, le recours doit être déposé dans les trente jours suivant la notification de la décision sujette à recours (al. 1). Les art. 38 à 41 sont applicables par analogie (al. 2). Selon l’art. 38 al. 3, 1ère phrase LPGA, lorsque le délai échoit un samedi, un dimanche ou un jour férié selon le droit fédéral ou cantonal, son terme est reporté au premier jour ouvrable qui suit. Datée du 18 octobre 2018, la décision entreprise a été reçue le 26 octobre 2018 par le conseil du recourant. Ayant commencé à courir le 27 octobre, le délai de recours est arrivé à échéance le dimanche 25 novembre 2018, et a par conséquent été reporté au lendemain. Posté le 26 novembre 2018, le recours a été interjeté en temps utile. Respectant également les formes prescrites par la loi, il est a priori recevable (art. 56 à 61 LPGA).</w:t>
      </w:r>
    </w:p>
    <w:p>
      <w:r>
        <w:rPr>
          <w:b/>
        </w:rPr>
        <w:t>E. 2</w:t>
      </w:r>
    </w:p>
    <w:p>
      <w:r>
        <w:t>Le litige concerne le droit du recourant à une rente d’invalidité.</w:t>
      </w:r>
    </w:p>
    <w:p>
      <w:r>
        <w:rPr>
          <w:b/>
        </w:rPr>
        <w:t>E. 3</w:t>
      </w:r>
    </w:p>
    <w:p>
      <w:r>
        <w:t>a. Le recourant se plaint en premier lieu d’une violation de son droit d’être entendu. Il convient d’examiner préalablement ce grief dès lors qu’il s’agit d’un droit de nature formelle dont la violation conduit à l’annulation de la décision entreprise indépendamment des chances de succès du recours sur le fond (ATF 127 V 431 consid. 3d/aa). Il fait valoir que l’intimé n’aurait tenté aucun consensus s’agissant du nouvel expert et qu’il n’aurait pas pu exercer ses droits de partie. N’ayant pas eu connaissance du rapport d’expertise du Dr D______ et ignorant les raisons d’une nouvelle expertise, il n’aurait pas pu réellement prendre position, ni sur les questions à poser, ni sur le choix de l’expert et aurait donc été empêché d’exercer ses droits de partie. b. Le droit d’être entendu garanti par l’art. 29 al. 2 Cst. comprend le droit pour les parties de s’expliquer avant qu’une décision ne soit prise à leur détriment, celui de fournir des preuves quant aux faits de nature à influer sur le sort de la décision, celui d’obtenir qu’il soit donné suite aux offres de preuves pertinentes, celui d’avoir accès au dossier et celui de participer à l’administration des preuves, d’en prendre connaissance et de se déterminer à leur propos. En tant que droit de participation, le droit d’être entendu englobe tous les droits qui doivent être attribués aux parties pour qu’elles puissent faire valoir efficacement leur point de vue dans une procédure (arrêt du Tribunal fédéral 9C_372/2018 du 29 octobre 2018 consid. 5.1 et les arrêts cités). Les parties n’ont toutefois pas droit à l’administration d’une preuve dépourvue de pertinence lorsqu’elle porte sur une circonstance sans rapport avec le litige ou qu’une appréciation anticipée des preuves déjà recueillies démontre qu’elle ne serait pas de nature à emporter la conviction de la juridiction saisie (cf. ATF 140 I 285 consid. 6.3.1). Dans la procédure de préavis, le droit d’être entendu est régi par l’art. 57a LAI et est concrétisé par l’art. 42 LPGA (arrêt du Tribunal fédéral 8C_504/2014 du 29 septembre 2014 consid. 4.1). Selon l’art. 42, 2ème phrase LPGA, il n’est pas nécessaire d’entendre les parties avant une décision sujette à</w:t>
      </w:r>
    </w:p>
    <w:p>
      <w:r>
        <w:t>A/4120/2018 - 19/33 - opposition. Le Tribunal fédéral considère cependant que dans la mesure où l’assureur, une fois en possession de l’expertise, est en droit de poser à l’expert les questions complémentaires qu’il estime nécessaires, ce même droit appartient à l’assuré, compte tenu de son droit de se prononcer sur le résultat des preuves administrées et de faire administrer des preuves. En conséquence, il incombe à l’assureur, lorsqu’il entend poser des questions complémentaires à l’expert, d’en informer l’assuré et de lui faire parvenir une copie du rapport d’expertise. S’il s’en abstient, il viole le droit d’être entendu de l’assuré, même lorsque la procédure se clôt par une décision sujette à opposition (cf. ATF 136 V 113 consid. 5.4). c. En l’espèce, il sied de relever que le recourant s’est vu accorder la possibilité, le 2 février 2018, de se prononcer sur le nom de l’expert proposé et de lui poser des questions complémentaires. Pour le reste, la question d’une éventuelle violation du droit d’être entendu souffre de rester indécise dans la mesure où celle-ci peut être considérée comme réparée. En effet, il était tout à fait loisible au recourant, une fois son psychiatre traitant en possession des rapports d’expertise des Drs D______ et F______ – soit avant la prise de la décision litigieuse du 18 octobre 2018 – de demander à ce que des questions complémentaires soient soumises à l’expert F______ avant que la décision du 18 octobre 2018 ne soit rendue (cf. ATF 136 V 113 consid. 5.5). En toute hypothèse, au vu du sort qui sera réservé à l’expertise du Dr F______ sous l’angle de l’appréciation des preuves (cf. infra consid. 8), la chambre de céans se dispensera d’examiner plus avant le moyen tiré de la violation du droit d’être entendu.</w:t>
      </w:r>
    </w:p>
    <w:p>
      <w:r>
        <w:rPr>
          <w:b/>
        </w:rPr>
        <w:t>E. 4</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 au moins, à un trois-quarts de rente s’il est invalide à 60 % au moins, à une demi-rente s’il est invalide à 50 %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A/4120/2018 - 20/33 -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En vertu des art. 28 al. 1 et 29 al. 1 LAI, le droit à la rente prend naissance au plus tôt à la date dès laquelle l’assuré a présenté une incapacité de travail (art. 6 LPGA)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w:t>
      </w:r>
    </w:p>
    <w:p>
      <w:r>
        <w:rPr>
          <w:b/>
        </w:rPr>
        <w:t>E. 5</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arrêt du Tribunal fédéral 8C_841/2016 du 30 novembre 2017 consid. 4.5.2).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w:t>
      </w:r>
    </w:p>
    <w:p>
      <w:r>
        <w:t>A/4120/2018 - 21/33 -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troubles dépressifs de degré léger ou moyen compris (ATF 143 V 409 consid. 4.5.1). En effet, celles-ci ne peuvent en principe être déterminées ou prouvées sur la base de critères objectifs que de manière limitée. b.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(cf. notamment ATF 124 V 265 consid. 3c). Dans un arrêt du 11 juillet 2019 (ATF 145 V 215), le Tribunal fédéral est parvenu à la conclusion que sa pratique en matière de syndrome de dépendance ne pouvait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Par conséquent, il s’agit, comme pour tous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 c. La capacité de travail réellement exigible doit être évaluée dans le cadre d’une procédure d’établissement des faits structurée et sans résultat prédéfini, permettant</w:t>
      </w:r>
    </w:p>
    <w:p>
      <w:r>
        <w:t>A/4120/2018 - 22/33 -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standard qui doivent être pris en considération en règle générale peuvent être classés selon leurs caractéristiques communes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w:t>
      </w:r>
    </w:p>
    <w:p>
      <w:r>
        <w:t>A/4120/2018 - 23/33 -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d. Les indicateurs précités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w:t>
      </w:r>
    </w:p>
    <w:p>
      <w:r>
        <w:t>A/4120/2018 - 24/33 - l’assuré de ressources. Il est nécessaire de procéder à une approche globale de l’influence du trouble psychique considéré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à un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w:t>
      </w:r>
    </w:p>
    <w:p>
      <w:r>
        <w:t>A/4120/2018 - 25/33 -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e. Le diagnostic émanant d’un expert (psychiatre)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L’organe chargé de l’application du droit doit, avant de procéder à l’examen des indicateurs mentionnés,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w:t>
      </w:r>
    </w:p>
    <w:p>
      <w:r>
        <w:t>A/4120/2018 - 26/33 -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w:t>
      </w:r>
    </w:p>
    <w:p>
      <w:r>
        <w:rPr>
          <w:b/>
        </w:rPr>
        <w:t>E. 6</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A/4120/2018 - 27/33 - c/bb.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Il n’existe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w:t>
      </w:r>
    </w:p>
    <w:p>
      <w:r>
        <w:t>A/4120/2018 - 28/33 -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apparaît nécessaire d’élucider une question demeurée non instruite jusque-là ou qu’il s’agit de préciser un point de l’expertise ordonnée par l’administration ou de demander un complément à l’expert (ATF 137 V 210 consid. 4.4.1.3 et 4.4.1.4; SVR 2010 IV n. 49 p. 151, consid. 3.5 ; arrêt du Tribunal fédéral 8C_760/2011 du 26 janvier 2012 consid. 3).</w:t>
      </w:r>
    </w:p>
    <w:p>
      <w:r>
        <w:rPr>
          <w:b/>
        </w:rPr>
        <w:t>E. 8</w:t>
      </w:r>
    </w:p>
    <w:p>
      <w:r>
        <w:t>En l’espèce, la décision entreprise se fonde exclusivement sur le rapport d’expertise du Dr F______, aux termes duquel la capacité de travail du recourant serait entière dans toute activité, compte tenu du caractère primaire d’un trouble de l’usage des opiacés et de l’alcool et, pour le reste, de diagnostics sans effet sur la capacité de travail (dysthymie [F34.1], personnalité état limite et immaturité psychoaffective [F60.3]). Une nouvelle jurisprudence ou un changement de celle-ci s’appliquant immédiatement et valant pour tous les cas futurs, ainsi que pour les affaires pendantes devant un tribunal au moment de l’adoption de la nouveauté ou du changement (ATF 140 V 154 consid. 6.3.2), c’est à l’aune de l’ATF 145 V 215 du</w:t>
      </w:r>
    </w:p>
    <w:p>
      <w:r>
        <w:rPr>
          <w:b/>
        </w:rPr>
        <w:t>E. 11</w:t>
      </w:r>
    </w:p>
    <w:p>
      <w:r>
        <w:t>Dans quelle mesure les traitements ont-ils été mis à profit ou négligés ?</w:t>
      </w:r>
    </w:p>
    <w:p>
      <w:r>
        <w:rPr>
          <w:b/>
        </w:rPr>
        <w:t>E. 12</w:t>
      </w:r>
    </w:p>
    <w:p>
      <w:r>
        <w:t>Les limitations du niveau d’activité sont-elles uniformes dans tous les domaines (professionnel mais aussi personnel) ? Quel est le niveau d’activité sociale et comment a-t-il évolué depuis la survenance de l’atteinte à la santé ?</w:t>
      </w:r>
    </w:p>
    <w:p>
      <w:r>
        <w:rPr>
          <w:b/>
        </w:rPr>
        <w:t>E. 13</w:t>
      </w:r>
    </w:p>
    <w:p>
      <w:r>
        <w:t>Mentionner, pour chaque diagnostic posé, les limitations fonctionnelles qu’il entraîne, a) dans l’activité habituelle, b) dans une activité adaptée.</w:t>
      </w:r>
    </w:p>
    <w:p>
      <w:r>
        <w:rPr>
          <w:b/>
        </w:rPr>
        <w:t>E. 14</w:t>
      </w:r>
    </w:p>
    <w:p>
      <w:r>
        <w:t>Mentionner globalement les conséquences des divers diagnostics retenus sur la capacité de travail de l’assuré, en pourcent, a) dans l’activité habituelle, b) dans une activité adaptée.</w:t>
      </w:r>
    </w:p>
    <w:p>
      <w:r>
        <w:rPr>
          <w:b/>
        </w:rPr>
        <w:t>E. 15</w:t>
      </w:r>
    </w:p>
    <w:p>
      <w:r>
        <w:t>Dater la survenance de l’incapacité de travail durable, le cas échéant, indiquer l’évolution de son taux et décrire son évolution.</w:t>
      </w:r>
    </w:p>
    <w:p>
      <w:r>
        <w:rPr>
          <w:b/>
        </w:rPr>
        <w:t>E. 16</w:t>
      </w:r>
    </w:p>
    <w:p>
      <w:r>
        <w:t>Évaluer l’exigibilité, en pourcent, d’une activité adaptée, indiquer depuis quand une telle activité est exigible et quel est le domaine d’activité adapté.</w:t>
      </w:r>
    </w:p>
    <w:p>
      <w:r>
        <w:rPr>
          <w:b/>
        </w:rPr>
        <w:t>E. 17</w:t>
      </w:r>
    </w:p>
    <w:p>
      <w:r>
        <w:t>Dire s’il y a une diminution de rendement et la chiffrer.</w:t>
      </w:r>
    </w:p>
    <w:p>
      <w:r>
        <w:rPr>
          <w:b/>
        </w:rPr>
        <w:t>E. 18</w:t>
      </w:r>
    </w:p>
    <w:p>
      <w:r>
        <w:t>Évaluer la possibilité d’améliorer la capacité de travail par des mesures médicales. Indiquer quelles seraient les propositions thérapeutiques et leur influence sur la capacité de travail.</w:t>
      </w:r>
    </w:p>
    <w:p>
      <w:r>
        <w:rPr>
          <w:b/>
        </w:rPr>
        <w:t>E. 19</w:t>
      </w:r>
    </w:p>
    <w:p>
      <w:r>
        <w:t>Commenter et discuter les avis médicaux du SMR, des experts s’étant déjà prononcés et des médecins traitants et indiquer – cas échéant – pour quelles raisons ces avis sont confirmés ou écartés.</w:t>
      </w:r>
    </w:p>
    <w:p>
      <w:r>
        <w:rPr>
          <w:b/>
        </w:rPr>
        <w:t>E. 20</w:t>
      </w:r>
    </w:p>
    <w:p>
      <w:r>
        <w:t>Formuler un pronostic global.</w:t>
      </w:r>
    </w:p>
    <w:p>
      <w:r>
        <w:rPr>
          <w:b/>
        </w:rPr>
        <w:t>E. 21</w:t>
      </w:r>
    </w:p>
    <w:p>
      <w:r>
        <w:t>Toute remarque utile et proposition des experts. E. S’agissant plus précisément des troubles psychiques, charge l’expert psychiatre de répondre également aux questions suivantes : 1. Quel est le degré de gravité de chacun des troubles diagnostiqués (faible, moyen, grave) ?</w:t>
      </w:r>
    </w:p>
    <w:p>
      <w:r>
        <w:t>A/4120/2018 - 33/33 - 2. Existe-t-il une dépendance (alcoolisme, pharmacodépendance ou toxicomanie) ? Dans l’affirmative, le syndrome de dépendance a-t-il entraîné un trouble irréversible ? 3. Quelles sont les interactions entre les différents diagnostics établis et leurs incidences sur les capacités fonctionnelles de l’assuré dans tous les domaines de la vie (tant professionnelle que privée) ? 4. Les troubles psychiques constatés nécessitent-ils une prise en charge spécialisée ? 5.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de réadaptation) ? Motiver votre position. 6. De quelles ressources mobilisables l’assuré dispose-t-il ? 7. Quel est le contexte social ? L’assuré peut-il compter sur le soutien de ses proches ? 8. Pour le cas où il y aurait refus ou mauvaise acceptation d’une thérapie recommandée ou accessible : cette attitude doit-elle être attribuée à une incapacité de l’assuré à reconnaître sa maladie ? 9. Dans l’ensemble, le comportement de l’expertisé vous semble-t-il cohérent ? Pourquoi ? F. Invite les experts à faire une appréciation consensuelle du cas s’agissant de toutes les problématiques ayant des interférences entre elles, notamment l’appréciation de la capacité de travail résiduelle. G. Invite les experts à déposer à leur meilleure convenance un rapport en trois exemplaires à la chambre de céans. H. Réserve le fond.</w:t>
      </w:r>
    </w:p>
    <w:p>
      <w:r>
        <w:t>La greffière</w:t>
      </w:r>
    </w:p>
    <w:p>
      <w:r>
        <w:t>Florence SCHMUTZ</w:t>
      </w:r>
    </w:p>
    <w:p>
      <w:r>
        <w:t>Le président</w:t>
      </w:r>
    </w:p>
    <w:p>
      <w:r>
        <w:t>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