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ATAS/233/2014 vom 26. Februar 2013</w:t>
      </w:r>
    </w:p>
    <w:p>
      <w:r>
        <w:t>GE Cour de justice, 2013-02-26, FR</w:t>
      </w:r>
    </w:p>
    <w:p>
      <w:r>
        <w:rPr>
          <w:b/>
        </w:rPr>
        <w:t xml:space="preserve">Quelle: </w:t>
      </w:r>
      <w:r>
        <w:t>https://mcp.opencaselaw.ch/entscheid/ge_gerichte_ATAS_233_2014</w:t>
      </w:r>
    </w:p>
    <w:p>
      <w:r>
        <w:t>FR: GE_GERICHTE ATAS/233/2014 du 26 février 2013</w:t>
      </w:r>
    </w:p>
    <w:p>
      <w:r>
        <w:t>IT: GE_GERICHTE ATAS/233/2014 del 26 febbraio 2013</w:t>
      </w:r>
    </w:p>
    <w:p>
      <w:pPr>
        <w:pStyle w:val="Heading2"/>
      </w:pPr>
      <w:r>
        <w:t>Erwägungen</w:t>
      </w:r>
    </w:p>
    <w:p>
      <w:r>
        <w:rPr>
          <w:b/>
        </w:rPr>
        <w:t>E. 1</w:t>
      </w:r>
    </w:p>
    <w:p>
      <w:r>
        <w:t>Dans son ordonnance d’expertise, la Cour de céans a déjà tranché les questions relatives à sa compétence et à la recevabilité du recours, de sorte qu’il n’y a pas lieu d’y revenir.</w:t>
      </w:r>
    </w:p>
    <w:p>
      <w:r>
        <w:rPr>
          <w:b/>
        </w:rPr>
        <w:t>E. 2</w:t>
      </w:r>
    </w:p>
    <w:p>
      <w:r>
        <w:t>A teneur de l'art. 1 al. 1 loi fédérale sur l’assurance-invalidité du 19 juin 1959 (LAI; 831.20), les dispositions de la loi fédérale sur la partie générale du droit des assurances sociales du 6 octobre 2000 (LPGA; RS 830.1)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6 octobre 2006 (5ème révision) et du 18 mars 2011 (révision 6a), entrées en vigueur le 1er janvier 2008, respectivement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t>A/946/2012 - 10/19 - En l'espèce, au vu des faits pertinents, le droit éventuel aux prestations doit être examiné du point de vue matériel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5</w:t>
      </w:r>
    </w:p>
    <w:p>
      <w:r>
        <w:t>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w:t>
      </w:r>
    </w:p>
    <w:p>
      <w:r>
        <w:t>A/946/2012 - 11/19 -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op. cit., consid. 2.4).</w:t>
      </w:r>
    </w:p>
    <w:p>
      <w:r>
        <w:rPr>
          <w:b/>
        </w:rPr>
        <w:t>E. 6</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w:t>
      </w:r>
    </w:p>
    <w:p>
      <w:r>
        <w:t>A/946/2012 - 12/19 - champ socioculturel ou psychosocial, il n'y a pas d'atteinte à la santé à caractère invalidant (ATF 127 V 294 consid. 5a in fine).</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principe, lorsqu’au stade de la procédure administrative, une expertise confiée à un médecin indépendant est établie par un spécialiste reconnu, sur la base d'observations approfondies et d'investigations complètes, ainsi qu'en pleine</w:t>
      </w:r>
    </w:p>
    <w:p>
      <w:r>
        <w:t>A/946/2012 - 13/19 -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8</w:t>
      </w:r>
    </w:p>
    <w:p>
      <w:r>
        <w:t>a) En l’espèce, au vu des importantes divergences portant tant sur les diagnostics que sur la capacité de travail et des conclusions insuffisamment motivées, la Cour de céans n’a pas accordé pleine valeur probante à l’expertise du Dr P__________. Elle a ainsi ordonné une expertise psychiatrique du recourant et mandaté le Dr V_________ à cet effet. Dans son rapport d’expertise, le Dr V_________ retient les diagnostics de trouble de la personnalité émotionnellement labile, type borderline, de syndrome de dépendance aux opiacés sous substitution par méthadone, de syndrome de dépendance au cannabis et de trouble dépressif récurrent, épisode actuel léger avec syndrome somatique. Il conclut à une incapacité de travail durable depuis l’automne 2008 et considère qu’une activité lucrative n’est pas raisonnablement exigible de la part du recourant. Il motive les diagnostics posés au vu du profil typique de la personnalité borderline (ou état-limite selon certains auteurs) présenté par le recourant avec une enfance marquée par des carences affectives et un manque de valorisation narcissique associés à une parentification de sa part sous forme d’obligation à assumer une responsabilité sur son frère et sur lui-même, alors qu’il n’était qu’enfant. Son parcours professionnel après son apprentissage, marqué par des passages à l’acte impulsifs sans prendre en considération les conséquences de ses agissements, est caractéristique de l’instabilité générale chez les personnalités borderline. En effet, malgré ses atouts intellectuels et physiques,</w:t>
      </w:r>
    </w:p>
    <w:p>
      <w:r>
        <w:t>A/946/2012 - 14/19 - l’expertisé n’a pas réussi à construire une situation sociale ainsi que professionnelle stable et cette instabilité générale correspond au trouble de la personnalité borderline. Son besoin d’indépendance et sa difficulté à s’intégrer dans un cadre donné depuis la fin de la scolarité sont également frappants. S’agissant du trouble de l’humeur, la symptomatologie décrite par le recourant dépasse la lutte contre la dépression et le vide de la personnalité borderline ainsi que les phases dépressives inhérentes aux personnes souffrant de troubles de la personnalité borderline. Elle correspond à de véritables épisodes dépressifs où l’humeur change relativement brusquement avec perte d’énergie vitale, absence de motivation, de plaisir et d’envie, difficultés à se mettre en route, fuite dans le sommeil, repli social, humeur négative et morose, absence de perspectives d’avenir. En l’absence de phases maniaques ou hypomaniaques, un diagnostic de trouble dépressif récurrent s’impose. Selon l’expert, les troubles diagnostiqués ont valeur de maladie puisque le trouble dépressif récurrent a donné lieu à un traitement médicamenteux de longue date. La symptomatologie rapportée est importante et fait régresser le recourant à chaque épisode. Le trouble de la personnalité borderline dépasse les simples traits de personnalité et répond aux critères d’un trouble de la personnalité selon les classifications internationales. Le recourant est entravé dans sa vie professionnelle, sociale ainsi qu’affective et ledit trouble induit une souffrance subjective de l’instabilité ainsi que de l’impulsivité que le recourant ne réussit pas à endiguer. La consommation de produits répond dans le cas du recourant au trouble de la personnalité et fait partie intégrante dudit trouble. S’agissant de la gravité des troubles présentés par le recourant, le trouble dépressif était d’intensité légère lors de son examen au début de l’automne, mais il admet comme possible que la phase dépressive s’intensifie au cours des prochaines semaines et mois. Le traitement de substitution à la méthadone démontre une dépendance grave à l’héroïne dont cinq ans en injection. Le trouble de la personnalité borderline est grave du fait des conséquences délétères qu’il induit sur le plan professionnel. S’agissant de l’incapacité de travail, le recourant n’est pas en mesure d’exercer une activité continue en rapport avec son trouble de la personnalité borderline et son trouble dépressif récurrent qui impliquent une fluctuation importante de son état psychique. Il présente une diminution de rendement lorsqu’il est en phase dépressive mais peut avoir à court terme un bon rendement lorsqu’il va bien. La difficulté dans ce type de pathologie réside dans l’incapacité à fournir un rendement suffisant tout au long de l’année et sur plusieurs années. Quant à la chronologie de l’apparition des divers troubles dont souffre le recourant, le trouble de la personnalité borderline existe depuis le début de l’adolescence, avec symptomatologie psycho-pathologique présente déjà durant l’enfance. Il est difficile de situer le début du trouble dépressif récurrent. La Dresse L__________ le faisait remonter à 2003 et le Dr N__________ à l’adolescence. En tous les cas, il existe depuis l’automne 2008. La dépendance aux opiacés remonte à l’âge de 20 ans, alors que celle aux benzodiazépines et au cannabis existe depuis la dernière année de la scolarité</w:t>
      </w:r>
    </w:p>
    <w:p>
      <w:r>
        <w:t>A/946/2012 - 15/19 - obligatoire. La consommation de produits répond au trouble de la personnalité et en fait partie intégrante. La Cour de céans relève que le rapport d’expertise a été établi après étude de toutes les pièces médicales à disposition, un entretien téléphonique avec le Dr DI W_________, psychiatre traitant, ainsi qu’avec la Dresse R__________ et mise en œuvre d’analyses complémentaires d’urine ainsi que de sang. Il tient compte de l’anamnèse, des plaintes du recourant et de l’examen clinique de celui-ci. L’expert répond à toutes les questions posées dans l’ordonnance d’expertise de façon complète et convaincante, notamment quant à la valeur de maladie des troubles diagnostiqués, leur gravité et à la capacité de travail raisonnablement exigible. Il traite également du caractère primaire ou secondaire de la toxicomanie. Les prises de position de l’expert sont motivées et il explique pourquoi il s’écarte de l’appréciation du Dr P__________. En outre, il pose pour l’essentiel les mêmes diagnostics et procède à la même évaluation de la capacité de travail que le Dr N__________ et la Dresse L__________ qui ont traité le recourant pendant une année et demie, respectivement sept ans. Par conséquent, les conclusions du Dr V_________ procèdent d'une analyse complète de l'ensemble des circonstances déterminantes incluant aussi bien les causes que les conséquences de la dépendance et tenant compte d'une éventuelle interaction entre dépendance et comorbidité psychiatrique. b) Le SMR, sous la plume de la Dresse A_________, conteste la valeur probante de l’expertise judiciaire dans son avis du 25 novembre 2013 au motif que l’expert n’aurait décrit aucun status clinique lors du premier entretien, qu’il aurait une discussion orientée selon son impression première, qu’il ne déterminerait pas si le recourant présentait une maladie grave antérieurement à sa toxicomanie ayant conduit à l’invalidité et qu’il n’examinerait pas si le trouble borderline était décompensé. En outre, l’expert ne connaissait pas ou ne voulait pas appliquer la jurisprudence en matière de toxicomanie. Selon la jurisprudence, un tel rapport du SMR au sens de l'art. 59 al. 2bis LAI (en corrélation avec l'art. 49 al. 1 RAI) a pour fonction d'opérer la synthèse des renseignements médicaux versés au dossier et de prodiguer des recommandations quant à la suite à donner au dossier sur le plan médical. Il est éventuellement susceptible de susciter des doutes quant au bien-fondé d'une expertise; il ne saurait toutefois suffire à infirmer de manière définitive les conclusions de ladite expertise (ATF non publiés 9C_144/2010 du 10 décembre 2010 consid. 4.2 et 8C_756/2008 du 4 juin 2009 consid. 5.3, in SVR 2009 IV n° 50 p. 153). En l’occurrence, les griefs formulés par la responsable du SMR quant à la méconnaissance par l’expert des critères fixés pour admettre le caractère invalidant d’une toxicomanie ou sa volonté de ne pas appliquer lesdits critères sont purement gratuits et vexatoires. Par conséquent, une telle argumentation formulée de façon aussi générale et subjective ne peut en aucun cas susciter des doutes quant au bien- fondé des conclusions de l’expert au vu de l’objectivité sujette à caution de l’avis</w:t>
      </w:r>
    </w:p>
    <w:p>
      <w:r>
        <w:t>A/946/2012 - 16/19 - de la Dresse A_________ (cf. ATF non publié 8C_907/2009 du 12 février 2010, consid. 3.2).</w:t>
      </w:r>
    </w:p>
    <w:p>
      <w:r>
        <w:rPr>
          <w:b/>
        </w:rPr>
        <w:t>E. 9</w:t>
      </w:r>
    </w:p>
    <w:p>
      <w:r>
        <w:t>L’intimé soutient que les diagnostics posés par l’expert et ses conclusions ne reposeraient pas sur des observations cliniques approfondies, mais résulteraient d’une analyse descriptive des documents médicaux. Ses observations cliniques seraient extrêmement sommaires et insuffisamment détaillées. Elles comporteraient des interprétations psychanalytiques et mêleraient les plaintes subjectives aux constatations objectives. Les explications de l’expert sur sa divergence de point de vue avec le Dr P__________ ne seraient ni suffisantes, ni convaincantes. Selon la jurisprudence, on peut et on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Enfin, son rapport d'expertise doit être rédigé en suivant une structure logique afin que le lecteur puisse comprendre le cheminement intellectuel et scientifique à la base de l'avis qu'il exprime (ATF non publié 9C_76/2011 du 24 août 2011, consid. 5.2.1). En outre, une expertise doit contenir une partie consacrée à une discussion générale du cas, où sont intégrés, dans un tableau global cohérent, les renseignements issus du dossier, l'anamnèse, les indications subjectives, l'observation clinique et le résultat des examens complémentaires pratiqués (cf. Lignes directrices de la Société suisse de psychiatrie d'assurance pour l'expertise médicale des troubles psychiques, in Bulletin des médecins suisses 2004/85 p. 1905 ss). Dans les limites du mandat confié, la conduite de l'expertise (modalités de l'examen clinique et choix des examens complémentaires) est laissée au libre arbitre de l'expert (ATF non publié 9C_603/2009 du 2 février 2010 consid. 3.3 et les références, in SVR 2010 IV n° 58 p. 177). En l’espèce, en mentionnant dans une rubrique « étude du dossier » un consensus entre les divers médecins quant à l’existence d’un trouble de la personnalité, d’un trouble dépressif et d’une dépendance à des produits, l’expert a pour but de clarifier les convergences et divergences médicales avant de procéder à sa propre analyse. La Cour de céans ne distingue pas en quoi cette façon de structurer un rapport d’expertise aurait pour incidence que les diagnostics et les conclusions de l’expert résulteraient d’une analyse descriptive des documents médicaux. S’agissant de ses observations cliniques, l’expert les décrit sur près d’une page. Il précise que ses constatations sont différentes entre les deux entretiens. Il constate une faille narcissique et des mécanismes de défenses consécutives manifestes. Le fait qu’il se réfère à l’anamnèse démontre qu’il ne se satisfait pas de ses seules constatations pour valider ses observations cliniques, mais qu’il vérifie leur existence dans l’anamnèse. En outre, il observe que l’attitude du recourant lors du second entretien suscite peu d’empathie chez l’interlocuteur ce qui démontre le</w:t>
      </w:r>
    </w:p>
    <w:p>
      <w:r>
        <w:t>A/946/2012 - 17/19 - recul de l’expert. Lors d’un examen psychiatrique, il est également habituel que l’expert vérifie si les plaintes du recourant sont rendues vraisemblables par ses constatations cliniques. Dans la discussion, l’expert procède à une telle vérification. Bien que son analyse repose également sur les plaintes exprimées par le recourant dans le cadre des entretiens, l’expert démontre toutefois une prise de recul par rapport aux éléments constatés nécessaire à une appréciation sérieuse et objective de la situation médicale. En définitive, le rapport d’expertise contient une description clinique comportementale détaillée permettant de justifier l'incapacité de travail retenue. Par ailleurs, ses constatations cliniques sont similaires à celles du Dr N__________ qui avait mis en évidence un fort sentiment de vulnérabilité, une grande carence de l'affect et dans les capacités de gestion émotionnelle, des sentiments d'échec et de culpabilité, une difficulté relationnelle avec des mouvements de retrait, d’isolement et des envies suicidaires renforçant les états dépressifs d’intensité légère à sévère. Par conséquent, les conclusions de l’expert reposent bel et bien sur des constatations cliniques et non pas sur les seules plaintes du recourant et des interprétations psychanalytiques. Quant au caractère secondaire de la toxicomanie, l’expert explique que le trouble de la personnalité borderline est à l’origine de la toxicomanie car il s’est développé dans un contexte familial et un parcours personnel caractéristique aboutissant à une problématique persistante d’un Moi faible et d’un besoin compulsif d’exceller existant avant la toxicomanie. En effet, la consommation de produits répond au trouble de la personnalité et en fait partie intégrante, le recourant cherchant de cette façon à maîtriser ses angoisses, ses pulsions, son vide intérieur et ses phases dépressives. L’évaluation de l’expert est vérifiée par la chronologie de l’anamnèse établissant que le recourant a souffert d’abord d’un trouble borderline dès le début de l’adolescence avec symptomatologie psycho-pathologique existant déjà durant l’enfance avant de consommer des drogues à la fin de la scolarité obligatoire. Par ailleurs, la Cour de céans relève que le caractère secondaire de la toxicomanie a également été admis par le Dr N__________ et par la Dresse O__________ avant qu’elle ne change d’avis à la suite du rapport d’expertise du Dr P__________. Au demeurant, le Dr N__________ a constaté qu’en dehors des périodes de consommations importantes de toxiques, la symptomatologie dépressive ainsi qu’anxieuse subsiste et que la labilité émotionnelle semble même parfois se péjorer. Or, si les autres troubles psychiques dont souffre le recourant étaient secondaires à la toxicomanie, on comprendrait mal qu’ils subsistent voire s’amplifient hors consommation importante de toxiques. De plus, cette controverse est sans importance puisque, selon l’expert, il n’y a pas d’incapacité de travail en lien avec la dépendance. Enfin, l’expert motive de façon circonstanciée sur une page et demie ses divergences avec l’appréciation du Dr P__________. Il explique notamment que le recourant n’est pas responsable de son Moi faible, ni de son besoin constant de se revaloriser qui sont des aspects constituant précisément sa pathologie psychiatrique.</w:t>
      </w:r>
    </w:p>
    <w:p>
      <w:r>
        <w:t>A/946/2012 - 18/19 - Il est le premier à souffrir de son instabilité sur le plan affectif et de son incapacité à construire une situation sociale et professionnelle stable. Par conséquent, il ne s’agit pas d’un mode de vie dans l’oisiveté et encore moins d’un mode de vie choisi délibérément qui pourrait être modifié par un effort de volonté comme l’a retenu le Dr P__________ tout en décrivant un développement psychologique et affectif incomplet. En effet, par définition la personnalité borderline est incapable d’assumer une vie affective et familiale stable. Elle vit dans le présent, sans pouvoir se projeter dans l’avenir et favorise le principe de plaisir par rapport au principe de réalité. Aussi, l’intimé est peu crédible lorsqu’il reproche à l’expert de donner des explications insuffisantes et non convaincantes. Au vu de ce qui précède, la Cour de céans reconnaît une pleine valeur probante au rapport d’expertise du Dr V_________ et suivra ses conclusions retenant une incapacité de travail entière dans toute activité dès l’automne 2008.</w:t>
      </w:r>
    </w:p>
    <w:p>
      <w:r>
        <w:rPr>
          <w:b/>
        </w:rPr>
        <w:t>E. 10</w:t>
      </w:r>
    </w:p>
    <w:p>
      <w:r>
        <w:t>En vertu des art. 28 al. 1 et 29 al. 1 LAI (dans sa teneur en vigueur depuis le 1er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Etant donné que le recourant a déposé sa demande de prestations le 26 novembre 2010, soit après plus d’une année d’incapacité de travail d’au moins 40 %, il a droit à une rente entière d’invalidité dès le 1er mai 2011 en vertu de l’art. 29 al. 3 LAI.</w:t>
      </w:r>
    </w:p>
    <w:p>
      <w:r>
        <w:rPr>
          <w:b/>
        </w:rPr>
        <w:t>E. 11</w:t>
      </w:r>
    </w:p>
    <w:p>
      <w:r>
        <w:t>Le recours sera par conséquent admis et la décision du 27 février 2012 annulée. Etant donné que, depuis le 1er juillet 2006, la procédure n'est plus gratuite (art. 69 al. 1bis LAI), au vu du sort du recours, il y a lieu de condamner l'intimé au paiement d'un émolument de 1’000 fr.</w:t>
      </w:r>
    </w:p>
    <w:p>
      <w:r>
        <w:t>A/946/2012 - 19/19 -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