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ATAS/233/2013 vom 6. März 2013</w:t>
      </w:r>
    </w:p>
    <w:p>
      <w:r>
        <w:t>GE Cour de justice, 2013-03-06, FR</w:t>
      </w:r>
    </w:p>
    <w:p>
      <w:r>
        <w:rPr>
          <w:b/>
        </w:rPr>
        <w:t xml:space="preserve">Quelle: </w:t>
      </w:r>
      <w:r>
        <w:t>https://mcp.opencaselaw.ch/entscheid/ge_gerichte_ATAS_233_2013</w:t>
      </w:r>
    </w:p>
    <w:p>
      <w:r>
        <w:t>FR: GE_GERICHTE ATAS/233/2013 du 6 mars 2013</w:t>
      </w:r>
    </w:p>
    <w:p>
      <w:r>
        <w:t>IT: GE_GERICHTE ATAS/233/2013 del 6 marzo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prévus par la loi, le recours est recevable (art. 56 et 60 LPGA ; art. 89B de la loi sur la procédure administrative, du 12 septembre 1985 - LPA ; RSG E 5 10).</w:t>
      </w:r>
    </w:p>
    <w:p>
      <w:r>
        <w:rPr>
          <w:b/>
        </w:rPr>
        <w:t>E. 3</w:t>
      </w:r>
    </w:p>
    <w:p>
      <w:r>
        <w:t>La recourante sollicite préalablement la restitution de l’effet suspensif.</w:t>
      </w:r>
    </w:p>
    <w:p>
      <w:r>
        <w:rPr>
          <w:b/>
        </w:rPr>
        <w:t>E. 4</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w:t>
      </w:r>
    </w:p>
    <w:p>
      <w:r>
        <w:t>A/415/2013 - 4/5 -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l'assurance-invalidité en vertu de l'art. 81 LAI (abrogé par la LPGA).</w:t>
      </w:r>
    </w:p>
    <w:p>
      <w:r>
        <w:rPr>
          <w:b/>
        </w:rPr>
        <w:t>E. 5</w:t>
      </w:r>
    </w:p>
    <w:p>
      <w:r>
        <w:t>En l’espèce, la recourante sollicite le rétablissement de l’effet suspensif, s’agissant de la restitution de l’effet suspensif. L’intimée acquiesce à cette requête, de sorte que la Cour de céans restituera l’effet suspensif, d’accord entre les parties.</w:t>
      </w:r>
    </w:p>
    <w:p>
      <w:r>
        <w:t>A/415/2013 - 5/5 -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