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ATAS/233/2012 vom 6. März 2012</w:t>
      </w:r>
    </w:p>
    <w:p>
      <w:r>
        <w:t>GE Cour de justice, 2012-03-06, FR</w:t>
      </w:r>
    </w:p>
    <w:p>
      <w:r>
        <w:rPr>
          <w:b/>
        </w:rPr>
        <w:t xml:space="preserve">Quelle: </w:t>
      </w:r>
      <w:r>
        <w:t>https://mcp.opencaselaw.ch/entscheid/ge_gerichte_ATAS_233_2012</w:t>
      </w:r>
    </w:p>
    <w:p>
      <w:r>
        <w:t>FR: GE_GERICHTE ATAS/233/2012 du 6 mars 2012</w:t>
      </w:r>
    </w:p>
    <w:p>
      <w:r>
        <w:t>IT: GE_GERICHTE ATAS/233/2012 del 6 marzo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4</w:t>
      </w:r>
    </w:p>
    <w:p>
      <w:r>
        <w:t>Le recours, déposé dans la forme et le délai légal, est recevable.</w:t>
      </w:r>
    </w:p>
    <w:p>
      <w:r>
        <w:rPr>
          <w:b/>
        </w:rPr>
        <w:t>E. 5</w:t>
      </w:r>
    </w:p>
    <w:p>
      <w:r>
        <w:t>Le litige porte sur le tarif auquel la caisse doit prendre en charge les frais de séjour et/ou d'hospitalisation de l'assurée durant les périodes du 1er au 15 mai 2010, du 1er juillet au 29 septembre 2010 et du 14 octobre au 5 novembre 2010.</w:t>
      </w:r>
    </w:p>
    <w:p>
      <w:r>
        <w:rPr>
          <w:b/>
        </w:rPr>
        <w:t>E. 6</w:t>
      </w:r>
    </w:p>
    <w:p>
      <w:r>
        <w:t>a) En vertu de l'art. 24 LAMal, l'assurance obligatoire des soins prend en charge le coût des prestations définies aux art. 25 à 31 LAMal, en tenant compte des conditions énoncées aux art. 32 à 34. Par ailleurs les prestations de l'assurance</w:t>
      </w:r>
    </w:p>
    <w:p>
      <w:r>
        <w:t>A/2503/2011 - 9/14 - obligatoire englobent le séjour en division commune dans un établissement hospitalier (art. 25 al. 2 let. 2 LAMal). b)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ou dans un établissement médico-social par des médecins, des chiropraticiens et des personnes fournissant des prestations sur prescription ou sur mandat médical (al. 2 let. a), les mesures de réadaptation effectuées ou prescrites par un médecin (al. 2 let. d) ainsi que le séjour en division commune d'un hôpital (al. 2 let. e). L'assuré a le libre choix entre les fournisseurs de prestations admis et aptes à traiter sa maladie (art. 41 al. 1 LAMal), étant précisé qu'en cas de traitement hospitalier ou semi- hospitalier, l'assureur prend en charge les coûts jusqu'à concurrence du tarif applicable dans le canton où réside l'assuré (art. 41 al. 1 2ème et 3ème phrase LAMal). c) Selon l'art. 32 al. 1 LAMal, les prestations mentionnées aux art. 25 à 31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L'efficacité doit être démontrée selon des méthodes scientifiques.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d)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 tarifaires, l'art. 47 al. 1 LAMal prévoit que c'est au gouvernement cantonal de fixer le tarif, après consultation des intéressés.</w:t>
      </w:r>
    </w:p>
    <w:p>
      <w:r>
        <w:t>A/2503/2011 - 10/14 - e)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106 consid. 3e; RAMA 2001 n° KV 181 p. 426 consid. 3.2.1). Il est dans l'intérêt tant des assurés que des assureurs-maladie de distinguer clairement les notions de traitement ambulatoire, semi-hospitalier et hospitalier. La loi, les conventions tarifaires et les tarifs édictés par les gouvernements cantonaux font une nette distinction entre ces trois formes de traitements médicaux et prévoient des modalités d'indemnisation des assurés et de prise en charge des frais fort différentes (RAMA 1991 n° K 869 p. 164 consid. 1a et les références). Cette distinction est en particulier nécessaire pour déterminer le tarif applicable, le choix du fournisseur de prestations, l'étendue de la prise en charge par l'assurance obligatoire des soins et la participation aux coûts des assurés (LONGCHAMP, Conditions et étendue du droit aux prestations de l'assurance-maladie sociale, Berne 2004, p. 376 ss.).</w:t>
      </w:r>
    </w:p>
    <w:p>
      <w:r>
        <w:rPr>
          <w:b/>
        </w:rPr>
        <w:t>E. 7</w:t>
      </w:r>
    </w:p>
    <w:p>
      <w:r>
        <w:t>a) Les coûts du séjour hospitalier sont pris en charge par l'assurance obligatoire lorsque les conditions suivantes sont satisfaites : - la personne assurée doit séjourner dans un établissement hospitalier ou dans une division hospitalière qui sert au traitement hospitalier de maladies aiguës ou à l'exécution en milieu hospitalier de mesures médicales de réadaptation (art. 39 al. 1 LAMal) ; - l'établissement hospitalier ou la clinique doit figurer sur la liste hospitalière cantonale structurée en catégorie selon les mandats de prestations ; - Selon l'art. 49 al. 3 LAMal, en cas d'hospitalisation, la rémunération s'effectue conformément au tarif applicable à l'hôpital (servant au traitement hospitalier de maladies aiguës, au sens de l'art. 39 BGE 125 V 177 p. 179 al. 1 LAMal) tant que le patient a besoin, selon l'indication médicale, d'un traitement et de soins et d'une réadaptation médicale en milieu hospitalier. Si cette condition n'est plus remplie, le tarif selon l'art. 50 LAMal (convention tarifaire avec les établissements médico- sociaux) est applicable. Aux termes de cette dernière disposition légale, l'assureur prend en charge, en cas de séjour dans un établissement médico-social (art. 39 al. 3 LAMal), les mêmes prestations que pour un traitement ambulatoire et pour les soins à domicile; il peut toutefois convenir, avec l'établissement médico-social, d'un mode de rémunération forfaitaire (ATF 127 V 47 consid. 2c). Autrement dit, un</w:t>
      </w:r>
    </w:p>
    <w:p>
      <w:r>
        <w:t>A/2503/2011 - 11/14 - séjour dans un établissement hospitalier pour soins aigus au tarif hospitalier ne peut se faire qu’aussi longtemps qu’un tel séjour est rendu nécessaire par le but du traitement (LOCHER, Grundriss des Sozialversicherungsrechts, 2ème éd. , Berne 1997, p. 165, n°28 ; ATF 124 V 364). b)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et les références).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 hospitalier (LONGCHAMP, op. cit., p. 380). Pour satisfaire aux impératifs du caractère économique et à la réglementation légale, qui établit une nette distinction entre la rémunération d'un traitement et de soins en milieu hospitalier et celle d'un séjour dans un établissement médico-social,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 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Par ailleurs, le TFA a reconnu au médecin traitant un certain pouvoir</w:t>
      </w:r>
    </w:p>
    <w:p>
      <w:r>
        <w:t>A/2503/2011 - 12/14 - d’appréciation s’agissant de fixer la limite entre hospitalisation aiguë et soins de longue durée (ATF 124 V 362ss consid. 2c). e) Dans un arrêt ATF 125 V 177, le Tribunal fédéral des assurances a considéré que la jurisprudence rendue à propos du principe d'économie du traitement prescrit à l'art. 23 LAMA (cf. message concernant la révision de l'assurance-maladie du 6 novembre 1991, FF 1992 I 168) et ses incidences sur le droit aux prestations en cas de séjour dans un établissement a gardé toute sa valeur sous l'empire du nouveau droit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Dans le même arrêt,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arrêt du 14 mai 2001, cause K/186.00).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w:t>
      </w:r>
    </w:p>
    <w:p>
      <w:r>
        <w:rPr>
          <w:b/>
        </w:rPr>
        <w:t>E. 8</w:t>
      </w:r>
    </w:p>
    <w:p>
      <w:r>
        <w:t>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w:t>
      </w:r>
    </w:p>
    <w:p>
      <w:r>
        <w:t>A/2503/2011 - 13/14 -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Dans le cas d'espèce, au vu des explications données par le Dr M___________, confrontées à l'avis du Dr O___________, médecin-conseil de la caisse, et afin de mettre un terme au litige, les parties ont convenu que la caisse prendrait à sa charge les coûts du séjour hospitalier du 1er juillet au 31 août 2010, ainsi qu'une indemnité de procédure de 2'000 fr en faveur de l'assurée au titre de dépens. L'accord étant conforme au droit applicable, la Cour en prendra acte.</w:t>
      </w:r>
    </w:p>
    <w:p>
      <w:r>
        <w:t>A/2503/2011 - 14/14 -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