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ATAS/233/2008 vom 8. November 2007</w:t>
      </w:r>
    </w:p>
    <w:p>
      <w:r>
        <w:t>GE Cour de justice, 2007-11-08, FR</w:t>
      </w:r>
    </w:p>
    <w:p>
      <w:r>
        <w:rPr>
          <w:b/>
        </w:rPr>
        <w:t xml:space="preserve">Quelle: </w:t>
      </w:r>
      <w:r>
        <w:t>https://mcp.opencaselaw.ch/entscheid/ge_gerichte_ATAS_233_2008</w:t>
      </w:r>
    </w:p>
    <w:p>
      <w:r>
        <w:t>FR: GE_GERICHTE ATAS/233/2008 du 8 novembre 2007</w:t>
      </w:r>
    </w:p>
    <w:p>
      <w:r>
        <w:t>IT: GE_GERICHTE ATAS/233/2008 del 8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21 juillet 1983, d’autre part le 9 janvier 2008 , date à laquelle le jugement de divorce est devenu exécutoire.</w:t>
      </w:r>
    </w:p>
    <w:p>
      <w:r>
        <w:rPr>
          <w:b/>
        </w:rPr>
        <w:t>E. 3</w:t>
      </w:r>
    </w:p>
    <w:p>
      <w:r>
        <w:t>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w:t>
      </w:r>
    </w:p>
    <w:p>
      <w:r>
        <w:t>A/160/2008 4/5 mariage et qui profitent au conjoint affilié à l'institution de prévoyance, sont destinés à compenser l'inflation (ATF 128 V 230).</w:t>
      </w:r>
    </w:p>
    <w:p>
      <w:r>
        <w:rPr>
          <w:b/>
        </w:rPr>
        <w:t>E. 4</w:t>
      </w:r>
    </w:p>
    <w:p>
      <w:r>
        <w:t>Selon les documents produits, la prestation acquise pendant le mariage par le demandeur s'élève à 274'459 fr. 85 (162'819 - 9'026.15 + 120'667) tandis que celle acquise par la demanderesse atteint la somme de 75'464 fr. 50, les intérêts ayant déjà été calculés par les institutions de prévoyance défenderesses. Ainsi le demandeur doit à son ex-épouse le montant de 137'229 fr. 95 (274'459.85 : 2) alors qu'elle lui doit celui de 37'732 fr. 25 (75'464.50 : 2), de sorte que c’est en définitive le demandeur qui doit à son ex-épouse le montant de 99'857 fr. 70 (137'229.95 - 37'732.25).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A/160/2008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