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ATAS/232/2024 vom 31. März 2023</w:t>
      </w:r>
    </w:p>
    <w:p>
      <w:r>
        <w:t>GE Cour de justice, 2023-03-31, FR</w:t>
      </w:r>
    </w:p>
    <w:p>
      <w:r>
        <w:rPr>
          <w:b/>
        </w:rPr>
        <w:t xml:space="preserve">Quelle: </w:t>
      </w:r>
      <w:r>
        <w:t>https://mcp.opencaselaw.ch/entscheid/ge_gerichte_ATAS_232_2024</w:t>
      </w:r>
    </w:p>
    <w:p>
      <w:r>
        <w:t>FR: GE_GERICHTE ATAS/232/2024 du 31 mars 2023</w:t>
      </w:r>
    </w:p>
    <w:p>
      <w:r>
        <w:t>IT: GE_GERICHTE ATAS/232/2024 del 31 marzo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A/169/2023 - 4/7 -</w:t>
      </w:r>
    </w:p>
    <w:p>
      <w:r>
        <w:rPr>
          <w:b/>
        </w:rPr>
        <w:t>E. 1.2</w:t>
      </w:r>
    </w:p>
    <w:p>
      <w:r>
        <w:t>Interjeté dans les forme et délai prévus par la loi, le recours est recevable (art. 56 et 60 LPGA, en particulier l’art. 38 al. 4 let. c LPGA sur la suspension des délais du 18 décembre au 2 janvier inclusivement).</w:t>
      </w:r>
    </w:p>
    <w:p>
      <w:r>
        <w:rPr>
          <w:b/>
        </w:rPr>
        <w:t>E. 2</w:t>
      </w:r>
    </w:p>
    <w:p>
      <w:r>
        <w:t>Le litige porte sur la question de savoir si la recourante peut bénéficier d’une remise de l’obligation de restituer la somme de CHF 2'317.80.</w:t>
      </w:r>
    </w:p>
    <w:p>
      <w:r>
        <w:rPr>
          <w:b/>
        </w:rPr>
        <w:t>E. 2.1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2.2</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w:t>
      </w:r>
    </w:p>
    <w:p>
      <w:r>
        <w:t>A/169/2023 - 5/7 -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La bonne foi a été admise dans le cas d’un assuré qui avait omis d’annoncer une activité de concierge à 25 % dans les formulaires IPA, alors qu’il avait annoncé cette activité tant à l’office régional de placement qu’à la caisse de chômage. Si l’assuré était tenu d'indiquer cette activité dans les formulaires IPA, la caisse disposait néanmoins de toutes les indications nécessaires au dossier concernant la poursuite de l'emploi en tant que concierge pour déterminer correctement le droit à l'indemnisation (arrêt du Tribunal fédéral 8C_684/2018 du 17 avril 2019 consid. 4.3).</w:t>
      </w:r>
    </w:p>
    <w:p>
      <w:r>
        <w:rPr>
          <w:b/>
        </w:rPr>
        <w:t>E. 2.3</w:t>
      </w:r>
    </w:p>
    <w:p>
      <w:r>
        <w:t>Dans la décision entreprise, l’intimé a considéré que la recourante n’était pas de bonne foi au moment de la perception des indemnités versées en trop, puisqu’elle ne pouvait ignorer que le montant de ses indemnités ne devait pas correspondre à l’entier du mois de septembre 2021, au vu de sa reprise d’emploi dès le 13 septembre 2021. Il ressort toutefois des faits établis par l’autorité précédente que la recourante a clairement informé l’ORP de sa prise d’emploi. Elle lui a en outre fait parvenir une copie de son contrat de travail, lequel précisait que son activité allait débuter le 13 septembre 2021. La recourante a également informé la caisse par le biais du formulaire IPA sur lequel elle a mentionné avoir retrouvé un emploi dès le 13 septembre 2021. La caisse disposait ainsi de toutes les indications nécessaires au dossier pour déterminer correctement le droit à l’indemnisation. La recourante n’a certes pas réagi à réception du décompte du 22 septembre 2021, faisant état d’une indemnisation pour 19 jours, alors qu’elle n’avait droit qu’à 10 jours, compte tenu de sa prise d’emploi. Elle indique toutefois avoir pensé qu’il s’agissait d’indemnités supplémentaires pour vacances non prises, étant précisé qu’elle n’avait pas pris l’intégralité de ses vacances durant sa période de chômage. Elle aurait certes dû se renseigner sur ce point. Or, en omettant de le faire, la</w:t>
      </w:r>
    </w:p>
    <w:p>
      <w:r>
        <w:t>A/169/2023 - 6/7 - recourante a commis, tout au plus, une négligence légère. C’est partant à tort que l’autorité intimée a retenu que l’omission de la recourante constituait une négligence grave de nature à exclure sa bonne foi. Il se justifie ainsi d’annuler la décision litigieuse et de renvoyer la cause à l’intimé pour examiner la condition de la situation difficile.</w:t>
      </w:r>
    </w:p>
    <w:p>
      <w:r>
        <w:rPr>
          <w:b/>
        </w:rPr>
        <w:t>E. 2.4</w:t>
      </w:r>
    </w:p>
    <w:p>
      <w:r>
        <w:t>Les considérants qui précèdent conduisent à l’admission du recours. La décision sur opposition du 7 décembre 2022 sera annulée et la cause renvoyée à l’intimé pour nouvelle décision dans le sens des considérants. La recourante, qui n’est pas représentée, n’a pas droit à des dépens. La procédure est gratuite pour le surplus (art. 61 let. fbis a contrario LPGA en lien avec l’art. 1 al. 1 LACI).</w:t>
      </w:r>
    </w:p>
    <w:p>
      <w:r>
        <w:t>A/169/2023 - 7/7 -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