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ATAS/232/2021 vom 15. März 2021</w:t>
      </w:r>
    </w:p>
    <w:p>
      <w:r>
        <w:t>GE Cour de justice, 2021-03-15, FR</w:t>
      </w:r>
    </w:p>
    <w:p>
      <w:r>
        <w:rPr>
          <w:b/>
        </w:rPr>
        <w:t xml:space="preserve">Quelle: </w:t>
      </w:r>
      <w:r>
        <w:t>https://mcp.opencaselaw.ch/entscheid/ge_gerichte_ATAS_232_2021</w:t>
      </w:r>
    </w:p>
    <w:p>
      <w:r>
        <w:t>FR: GE_GERICHTE ATAS/232/2021 du 15 mars 2021</w:t>
      </w:r>
    </w:p>
    <w:p>
      <w:r>
        <w:t>IT: GE_GERICHTE ATAS/232/2021 del 15 marzo 2021</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du 27 septembre 2013 jusqu'au moment de la faillite, la chambre de céans est également compétente ratione loci.</w:t>
      </w:r>
    </w:p>
    <w:p>
      <w:r>
        <w:rPr>
          <w:b/>
        </w:rPr>
        <w:t>E. 2</w:t>
      </w:r>
    </w:p>
    <w:p>
      <w:r>
        <w:t>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2.3</w:t>
      </w:r>
    </w:p>
    <w:p>
      <w:r>
        <w:t>; 9C_624/2011 du 25 septembre 2012 consid. 2.2).</w:t>
      </w:r>
    </w:p>
    <w:p>
      <w:r>
        <w:t>A/914/2020 - 11/15 - A chaque fois, le Tribunal fédéral s’est demandé si l’intéressé, qui se prétendait indépendant et intervenait en qualité de sous-traitant, traitait sur un pied d’égalité avec les entreprises principales. Lorsque l’intéressé intervenait majoritairement pour des particuliers, son statut était celui d’indépendant. Lorsqu’il œuvrait principalement, voire exclusivement, en qualité de sous-traitant, il était considéré comme salarié. Sur le plan cantonal, la chambre de céans a adopté le même raisonnement (cf. ATAS/1208/2010 du 25 novembre 2010 et ATAS/1076/2020 du 29 octobre 2020 notamment).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w:t>
      </w:r>
    </w:p>
    <w:p>
      <w:r>
        <w:t>A/914/2020 - 8/15 -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5</w:t>
      </w:r>
    </w:p>
    <w:p>
      <w:r>
        <w:t>a. Les dispositions de la novelle du 17 mars 2011 modifiant la LAVS sont entrées en vigueur le 1er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ATF 127 V 467 consid. 1 et les références). En l’espèce, les montants litigieux concernent la période allant du mois d’octobre 2013 au mois de décembre 2015, de sorte que l’art. 52 al. 1 LAVS est applicable dans sa teneur en vigueur depuis le 1er janvier 2012 (arrêt du Tribunal fédéral 9C_80/2017 du 31 mai 2017 consid. 3.2). b. Le 1er janvier 2020 est entrée en vigueur la révision du droit de la prescription de la loi fédérale du 30 mars 1911, complétant le Code civil suisse (CO, Code des obligations - RS 220), entraînant la modification de l’art. 52 al. 3 LAVS.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w:t>
      </w:r>
    </w:p>
    <w:p>
      <w:r>
        <w:rPr>
          <w:b/>
        </w:rPr>
        <w:t>E. 6</w:t>
      </w:r>
    </w:p>
    <w:p>
      <w:r>
        <w:t>Le délai de recours est de trente jours (art. 56 LPGA; art. 62 al. 1 de la de loi sur la procédure administrative du 12 septembre 1985 [LPA - E 5 10]). Interjeté dans les formes et délai prévus par la loi, le recours est recevable (art. 38 et 56 à 61 LPGA).</w:t>
      </w:r>
    </w:p>
    <w:p>
      <w:r>
        <w:rPr>
          <w:b/>
        </w:rPr>
        <w:t>E. 7</w:t>
      </w:r>
    </w:p>
    <w:p>
      <w:r>
        <w:t>Le litige porte sur la responsabilité de la recourante dans le préjudice causé à l’intimée, par le défaut de paiement des cotisations sociales (AVS-AI-APG et AC ainsi qu’AF) relatives au salaire prétendument dissimulé entre octobre 2013 et décembre 2015.</w:t>
      </w:r>
    </w:p>
    <w:p>
      <w:r>
        <w:rPr>
          <w:b/>
        </w:rPr>
        <w:t>E. 8</w:t>
      </w:r>
    </w:p>
    <w:p>
      <w:r>
        <w:t>a. Selon l’art. 52 LAVS, dans sa teneur en vigueur depuis le 1er janvier 2012, l'employeur qui, intentionnellement ou par négligence grave, n'observe pas des prescriptions et cause ainsi un dommage à l'assurance, est tenu à réparation (al. 1). Si l'employeur est une personne morale, les membres de l'administration et toutes</w:t>
      </w:r>
    </w:p>
    <w:p>
      <w:r>
        <w:t>A/914/2020 - 9/15 -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L’art. 52 LAVS vise des situations dans lesquelles l'employeur (et, à titre subsidiaire, les organes qui ont agi en son nom) crée un dommage à la caisse de compensation en ne s'acquittant pas des cotisations sociales fédérales (dues en vertu de la LAVS et, par renvoi, de la loi fédérale du 20 juin 1952 sur les allocations familiales dans l'agriculture [LFA; RS 836.1], de la loi fédérale du 25 septembre 1952 sur les allocations pour perte de gain en cas de service et de maternité [LAPG; RS 834.1], de la loi fédérale du 19 juin 1959 sur l'assurance-invalidité [LAI; RS 831.20], de la loi fédérale du 25 juin 1982 sur l'assurance-chômage obligatoire et l'indemnité en cas d'insolvabilité [LACI; RS 837.0] et de la Loi fédérale du 24 mars 2006 sur les allocations familiales [LAFam; RS 836.2]). b. L'art. 14 al. 1 LAVS, en corrélation avec les art. 34 ss RAVS, prescrit que l'employeur doit déduire, lors de chaque paie, la cotisation du salarié et verser celle- 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132 III 523 consid. 4.4; 129 V 11 consid. 3.1; 118 V 193 consid. 2a; 114 V 219 consid. 3b et les références; arrêt du Tribunal fédéral des assurances H 128/01 du 19 avril 2005 consid. 6.4, in SVR 2005 AHV n° 22 p. 77). c. Selon l’art. 12 al. 1 LAVS, est considéré comme employeur quiconque verse à des personnes obligatoirement assurées une rémunération au sens de l’art. 5 al. 2. Sont obligatoirement assurées à l'AVS et à l'AI les personnes physiques qui exercent en Suisse une activité lucrative (art. 1a al. 1 let. b LAVS). Selon l’art. 5 al. 2 LAVS, on considère comme salaire déterminant toute rétribution pour un travail dépendant effectué dans un temps déterminé ou indéterminé. Il englobe les allocations de renchérissement et autres suppléments de salaire, les commissions, les gratifications, les prestations en nature, les indemnités de</w:t>
      </w:r>
    </w:p>
    <w:p>
      <w:r>
        <w:t>A/914/2020 - 10/15 - vacances ou pour jours fériés et autres prestations analogues, ainsi que les pourboires, s’ils représentent un élément important de la rémunération du travail. La nature de l'activité exercée importe peu : le gain soumis à cotisations peut aussi bien provenir d'une activité licite que d'une activité illicite, en particulier d'un « travail au noir » (arrêt du Tribunal fédéral 9C_675/20214 du 11 août 2015 consid. 3.1). d/aa. 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Peter GAUCH, Der Werkvertrag, 5ème éd. 2011, n. 137 p. 53; Pierre TERCIER/ Pascal G. FAVRE, Les contrats spéciaux, 4ème éd. 2009, p. 644, n. 4290 ; voir également François CHAIX, Le contrat de sous-traitance en droit suisse, 1995, p. 85 ss. ; arrêt du Tribunal fédéral 9C_782/2014 du 25 août 2015 consid. 6.1.1). Entre l'entrepreneur principal et le sous-traitant, la relation est régie par un contrat d'entreprise au sens de l'art. 363 du code des obligations (CO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JdT 1998 I 612), c'est donc l'entrepreneur principal qui répond à l'égard du maître principal de l'exécution des travaux effectués par les sous-traitants ; ceux-ci sont en effet des auxiliaires de l'exécution (art. 101 CO ; ATF 116 II 305,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Pierre TERCIER/ Pascal G. FAVRE, op. cit. n. 4294 ss). d/bb. Se référant à la doctrine, le Tribunal fédéral des assurances a considéré, dans son arrêt H 169/04 du 21 avril 2005, que les sous-traitants et les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(consid. 4.4). Cette jurisprudence a été confirmée, à plusieurs reprises par la suite (arrêts du Tribunal fédéral 8C_484/2010 du 12 mai 2011 consid. 3.3 ; 9C_1062/2010 du 5 juillet 2011 consid. 7.5, 8C_367/2011 du 12 avril 2012 consid. 2.4 ; 8C_597/2011 du 10 mai8 2012 consid.</w:t>
      </w:r>
    </w:p>
    <w:p>
      <w:r>
        <w:rPr>
          <w:b/>
        </w:rPr>
        <w:t>E. 9</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citées).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w:t>
      </w:r>
    </w:p>
    <w:p>
      <w:r>
        <w:t>A/914/2020 - 12/15 - 125 V 193 consid. 2 et les références citées).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w:t>
      </w:r>
    </w:p>
    <w:p>
      <w:r>
        <w:rPr>
          <w:b/>
        </w:rPr>
        <w:t>E. 10</w:t>
      </w:r>
    </w:p>
    <w:p>
      <w:r>
        <w:t>a. En l’espèce, l’intimée a considéré que les versements en espèce effectués à H______, d’un montant total de CHF 1'768'200.-, constituaient des salaires non déclarés, sur lesquels la société aurait dû payer des cotisations. La caisse est arrivée à cette conclusion, étant donné que la société H______ n’employait plus de personnel depuis le 1er janvier 2013. S’y ajoutait le fait que cette société n’avait pas de locaux et que l’unique administrateur, Monsieur J______, homme de paille, était déjà en litige avec la caisse dans une autre affaire. Interrogé à ce propos, l’ex-époux de la recourante a expliqué que H______ avait à son tour sous-traité le travail, ce que la caisse conteste, étant d’avis qu’une sous- traitance pour un montant aussi important ne pouvait se faire sans personnel ni locaux. b. Dès lors que l’art. 52 LAVS concerne la responsabilité de l’employeur, il faut tout d’abord que la société, dont la recourante était organe formel, revête cette qualité. En d’autres termes, le dossier doit faire apparaître, au degré de la vraisemblance prépondérante, que les versements en espèces litigieux étaient destinés à rémunérer une personne exerçant une activité dépendante pour le compte de la société. Force est toutefois de constater que rien dans le dossier ne permet d’arriver à cette conclusion. En effet, tout d’abord, les versements ont été effectués en faveur d’une société anonyme et non d’une personne physique. Or, conformément aux art. 1a al. 1 let b 5, 9 et 12 LAVS, seule une personne physique peut être salariée de la société et, par conséquent, assurée auprès de l’assurance-vieillesse et des autres assurances qui y sont liées. Ensuite, les informations sur lesquelles se fonde l’intimée pour retenir que H______ ne disposait ni de personnel ni de locaux ressortent principalement d’un rapport de contrôle d’employeur du 20 février 2018, consignant notamment les déclaration d’un certain Monsieur I______. Toutefois, il s’agit là d’un document purement interne, résumant les déclarations de ce dernier telles qu’elles ont été comprises, interprétées et résumées par les employés de l’assureur-accidents et de l’intimée (voir ATAS/827/2014 du 30 juin 2014 consid. 10). Or, un tel document ne saurait être pris en considération pour apprécier la nature des versements et ce pour les motifs suivants : le document n’a pas été contresigné par Monsieur I______,</w:t>
      </w:r>
    </w:p>
    <w:p>
      <w:r>
        <w:t>A/914/2020 - 13/15 - dont on ne connait au demeurant rien ; la teneur est contestée par la recourante et son ex-époux, ces derniers évoquant notamment une sous-traitance en chaîne, ce qui est au demeurant admis dans la pratique (Eric RAMEL / Marc-Etienne FAVRE, La sous-traitance, Questions choisies, in Journées du droit de la construction 2015, p. 129). ; le document en question comporte des incohérences, notamment en ce qui concerne Monsieur J______. Si celui a certes été administrateur unique de H______, c’était postérieurement à la période litigieuse. Quant aux courriels de la caisse AVS 66.1 du 25 octobre 2016 et de la SUVA du 24 février 2017, joints au rapport de contrôle précité, ils ne comportent aucune annexe étayant leur contenu, au demeurant peu clair. En tout état, les versements en espèce litigieux correspondent à des factures établies par H______, comportant un numéro de facturation, une brève description des chantiers et des activités qui y ont été menées. Les paiements apparaissent dans le grand livre de la société, chaque mois, sans qu’une régularité ne puisse être constatée. A l’exception des suppositions des gestionnaires, lesquelles ne sont pas étayées, le dossier ne comporte en réalité aucun élément suffisamment probant permettant de considérer que lesdits versements en espèces avaient en réalité pour but de rémunérer une personne physique ayant travaillé au noir en tant qu’employé de la société. Même si on peut s’étonner que des montants aussi importants aient été effectués en espèces, aucun élément du dossier ne permet de qualifier la société - et à titre subsidiaire la recourante - d’employeur, ce d’autant moins qu’on ne connaît pas l’identité du ou des travailleurs qu’elle aurait prétendument occupé(s). Partant, leur responsabilité ne saurait être engagée au sens de l’art. 52 LAVS en ce qui concerne les versements en espèces pour un montant total de CHF 1'768'200.-. c. En revanche, il est vrai que la part du leasing d’un véhicule privé, prise en charge par l’employeur, pourrait être considérée comme un salaire en nature. Toutefois, dans le cas d’espèce, aucun élément du dossier ne permet de considérer que l’intimée aurait omis d’intégrer CHF 4'500.- dans le salaire de 2014 et CHF 4'500.- dans celui de 2015. En effet, le grand-livre mentionne des leasings de CHF 21'412,76 en 2014 et CHF 28'291.18 et rien ne permet de considérer que la première décision de réparation n’intégrait pas les montants précités dans le calcul des cotisations. Constatant cela, la chambre de céans a imparti à l’intimée un délai au 30 janvier 2021 pour que celle-ci justifie les montants précités, tout en attirant son attention qu’en l’absence de réponse dans le délai, le montant total de CHF 9'000.- ne serait pas considéré comme établi. Aucune réponse n’ayant été donnée dans le délai précité, l’intimée subit les conséquences de l’absence de preuve (cf. consid. 8b supra) et la chambre de céans ne saurait retenir le montant total de CHF 9'000.- à titre de salaire non pris en considération dans le cadre de la procédure A/733/2019.</w:t>
      </w:r>
    </w:p>
    <w:p>
      <w:r>
        <w:t>A/914/2020 - 14/15 - d. Partant, il ressort des considérations qui précèdent que l’intimée n’a établi, au degré de la vraisemblance prépondérante, ni le fait que les versements à H______ constituaient en réalité des rémunérations soumises à cotisations ni celui qu’un montant total de CHF 9’000.- n’aurait pas été intégré dans les salaires soumis à cotisations en 2014 et 2015 ayant fait l’objet de la première décision en réparation du dommage. Dans la mesure où rien ne permet de considérer que la société aurait omis de percevoir des cotisations, la responsabilité subsidiaire de la recourante ne saurait être engagée.</w:t>
      </w:r>
    </w:p>
    <w:p>
      <w:r>
        <w:rPr>
          <w:b/>
        </w:rPr>
        <w:t>E. 11</w:t>
      </w:r>
    </w:p>
    <w:p>
      <w:r>
        <w:t>Le recours du 12 mars 2020 doit donc être admis et la décision sur opposition du 10 février 2020 doit être annulée. La recourante obtenant gain de cause, une indemnité de CHF 3’500.-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A/914/2020 - 15/15 - PAR CES MOTIFS, LA CHAMBRE DES ASSURANCES SOCIALES : Statuant À la forme : 1. Déclare le recours recevable.</w:t>
      </w:r>
    </w:p>
    <w:p>
      <w:r>
        <w:t>Au fond : 2. L’admet et annule la décision sur opposition du 10 février 2020. 3. Condamne l’intimée à verser CHF 3’500.- à la recourante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