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ATAS/232/2019 vom 14. März 2019</w:t>
      </w:r>
    </w:p>
    <w:p>
      <w:r>
        <w:t>GE Cour de justice, 2019-03-14, FR</w:t>
      </w:r>
    </w:p>
    <w:p>
      <w:r>
        <w:rPr>
          <w:b/>
        </w:rPr>
        <w:t xml:space="preserve">Quelle: </w:t>
      </w:r>
      <w:r>
        <w:t>https://mcp.opencaselaw.ch/entscheid/ge_gerichte_ATAS_232_2019</w:t>
      </w:r>
    </w:p>
    <w:p>
      <w:r>
        <w:t>FR: GE_GERICHTE ATAS/232/2019 du 14 mars 2019</w:t>
      </w:r>
    </w:p>
    <w:p>
      <w:r>
        <w:t>IT: GE_GERICHTE ATAS/232/2019 del 14 marzo 2019</w:t>
      </w:r>
    </w:p>
    <w:p>
      <w:pPr>
        <w:pStyle w:val="Heading2"/>
      </w:pPr>
      <w:r>
        <w:t>Erwägungen</w:t>
      </w:r>
    </w:p>
    <w:p>
      <w:r>
        <w:rPr>
          <w:b/>
        </w:rPr>
        <w:t>E. 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pour perte de gain en cas de service et de maternité du 25 septembre 1952 (loi sur les allocations pour perte de gain, LAPG - RS 834.1). Sa compétence pour juger du cas d’espèce est ainsi établie.</w:t>
      </w:r>
    </w:p>
    <w:p>
      <w:r>
        <w:rPr>
          <w:b/>
        </w:rPr>
        <w:t>E. 2</w:t>
      </w:r>
    </w:p>
    <w:p>
      <w:r>
        <w:t>À teneur de l'art. 1 al. 1 LAPG, les dispositions de la LPGA s'appliquent à au régime des allocations pour perte de gain, à moins que la loi n'y déroge expressément.</w:t>
      </w:r>
    </w:p>
    <w:p>
      <w:r>
        <w:t>- 3/5-</w:t>
      </w:r>
    </w:p>
    <w:p>
      <w:r>
        <w:t>A/4558/2018 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w:t>
      </w:r>
    </w:p>
    <w:p>
      <w:r>
        <w:t>- 4/5-</w:t>
      </w:r>
    </w:p>
    <w:p>
      <w:r>
        <w:t>A/4558/2018 qu'elle le représente (cf. ATF 110 V 37 consid. 3) a reçu le pli ou l'a retiré au guichet postal en cas d'absence lors du passage du facteur (ATFA non publié du 11 avril 2005, C 24/05 consid. 4.1). En l'occurrence, la décision litigieuse a été notifiée le 15 novembre 2018. Le délai de trente jours a dès commencé à courir le lendemain pour venir à échéance le lundi 17 décembre 2018. Dès lors, il est incontestable que le recours interjeté le 24 décembre l’a été tardivement. Reste à examiner si une restitution de délai peut être accordée. Tel peut être le cas, de manière exceptionnelle, à condition que le requérant ait été empêché, sans sa faute, d’agir dans le délai fixé. En l'espèce, une restitution du délai de recours au sens de l'art. 41 al. 1 LPGA ne se justifie pas. En effet, l’on ne peut considérer que le recourant a été empêché sans sa faute d’agir dans le délai fixé, une absence temporaire n'étant pas considérée comme un motif valable de restitution. Le fait qu’il ait été absent quelques jours en novembre et décembre ne l’empêchait aucunement de poster son recours à temps. En l'absence de motif valable de restitution de délai, le recours doit être déclaré irrecevable pour cause de tardiveté. Il est en revanche loisible à l’intéressé de déposer auprès de la caisse, dans les trente jours, une demande de remise de l’obligation de restituer s’il estime en remplir les conditions.</w:t>
      </w:r>
    </w:p>
    <w:p>
      <w:r>
        <w:t>- 5/5-</w:t>
      </w:r>
    </w:p>
    <w:p>
      <w:r>
        <w:t>A/4558/2018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