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ATAS/232/2018 vom 15. März 2018</w:t>
      </w:r>
    </w:p>
    <w:p>
      <w:r>
        <w:t>GE Cour de justice, 2018-03-15, FR</w:t>
      </w:r>
    </w:p>
    <w:p>
      <w:r>
        <w:rPr>
          <w:b/>
        </w:rPr>
        <w:t xml:space="preserve">Quelle: </w:t>
      </w:r>
      <w:r>
        <w:t>https://mcp.opencaselaw.ch/entscheid/ge_gerichte_ATAS_232_2018</w:t>
      </w:r>
    </w:p>
    <w:p>
      <w:r>
        <w:t>FR: GE_GERICHTE ATAS/232/2018 du 15 mars 2018</w:t>
      </w:r>
    </w:p>
    <w:p>
      <w:r>
        <w:t>IT: GE_GERICHTE ATAS/232/2018 del 15 marzo 2018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A/211/2018 ATAS/232/2018 COUR DE JUSTICE Chambre des assurances sociales Arrêt du 15 mars 2018 3ème Chambre</w:t>
      </w:r>
    </w:p>
    <w:p>
      <w:r>
        <w:t>En la cause Madame A______, domiciliée à Fillinges, FRANCE demanderesse</w:t>
      </w:r>
    </w:p>
    <w:p>
      <w:r>
        <w:t>A/211/2018 - 2/2 - Vu le jugement du Tribunal de grande instance de Thonon-les-Bains du 21 avril 2017 prononçant le divorce de Madame A______ et Monsieur B______ ; Vu la demande de Madame A______ du 16 janvier 2018 visant au partage des avoirs de prévoyance ; Vu l'audience de comparution personnelle de la demanderesse du 15 mars 2018, lors de laquelle il a été expliqué à l’intéressée qu’elle avait saisi prématurément la Cour de céans, le Tribunal de première instance étant seul compétent pour statuer sur le principe du partage et fixer la clé de répartition ; Attendu qu’au terme de l’audience, la demanderesse a indiqué retirer sa demande ; Qu'il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