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ATAS/232/2011 vom 2. März 2011</w:t>
      </w:r>
    </w:p>
    <w:p>
      <w:r>
        <w:t>GE Cour de justice, 2011-03-02, FR</w:t>
      </w:r>
    </w:p>
    <w:p>
      <w:r>
        <w:rPr>
          <w:b/>
        </w:rPr>
        <w:t xml:space="preserve">Quelle: </w:t>
      </w:r>
      <w:r>
        <w:t>https://mcp.opencaselaw.ch/entscheid/ge_gerichte_ATAS_232_2011</w:t>
      </w:r>
    </w:p>
    <w:p>
      <w:r>
        <w:t>FR: GE_GERICHTE ATAS/232/2011 du 2 mars 2011</w:t>
      </w:r>
    </w:p>
    <w:p>
      <w:r>
        <w:t>IT: GE_GERICHTE ATAS/232/2011 del 2 marzo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 Tribunal cantonal des assurances sociales (art. 143 al. 6 de la loi sur l'organisation judiciaire, du 9 octobre 2009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la chambre civile de la Cour de justice a ordonné le partage par moitié des prestations de sortie acquises durant le mariage par les demandeurs. Les dates pertinentes sont, d’une part, celle du mariage, le 13 juin 1986, d’autre part le 19 février 2009, date à laquelle le jugement de divorce est devenu exécutoire.</w:t>
      </w:r>
    </w:p>
    <w:p>
      <w:r>
        <w:rPr>
          <w:b/>
        </w:rPr>
        <w:t>E. 4</w:t>
      </w:r>
    </w:p>
    <w:p>
      <w:r>
        <w:t>Selon les renseignements recueillis, la prestation acquise pendant le mariage par le demandeur est de 259’239 fr. 65, tandis que celle acquise par la demanderesse est de 935 fr. 60, sans les frais, les intérêts ayant déjà été calculés par les institutions de prévoyance défenderesses.</w:t>
      </w:r>
    </w:p>
    <w:p>
      <w:r>
        <w:t>A/3198/2010 4/5 Le demandeur a fait valoir, par écriture du 4 janvier 2011, que la demanderesse avait conclu avec AXA-WINTERTHUR VIE une police troisième pilier. Il estime qu’il y a également lieu de prendre en considération l’avoir y relatif dans le cadre du partage des avoirs de prévoyance professionnelle ordonné par la Chambre civile de la Cour de justice. Cependant, aux termes de l’art. 122 al. 1 CC, les époux n’ont droit qu’à la moitié de la prestation de sortie revenant à leur conjoint dans le cadre de la prévoyance professionnelle régie par la LPP. Partant, il n’y a pas lieu de tenir compte d’un avoir de vieillesse constitué dans le cadre d’une police de troisième pilier. En ce qui concerne la fixation d'une indemnité équitable en application de l'art. 124 CC, cette compétence appartient exclusivement au juge du divorce, de sorte que la conclusion dans ce sens du demandeur n'est pas recevable. Il convient par ailleurs de relever que les recherches effectuées par le Tribunal n’ont pas permis de découvrir d’autres avoirs de prévoyance professionnelle de la demanderesse. Ainsi, le demandeur doit à son ex-épouse le montant de 129'619 fr. 80 (259'239 fr. 65 : 2) et celle-ci lui doit le montant de 467 fr. 60. (935 fr. 80 : 2), de sorte que c’est le demandeur qui lui doit la somme de 129'152 fr.</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A/3198/2010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