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ATAS/231/2020 vom 12. März 2020</w:t>
      </w:r>
    </w:p>
    <w:p>
      <w:r>
        <w:t>GE Cour de justice, 2020-03-12, FR</w:t>
      </w:r>
    </w:p>
    <w:p>
      <w:r>
        <w:rPr>
          <w:b/>
        </w:rPr>
        <w:t xml:space="preserve">Quelle: </w:t>
      </w:r>
      <w:r>
        <w:t>https://mcp.opencaselaw.ch/entscheid/ge_gerichte_ATAS_231_2020</w:t>
      </w:r>
    </w:p>
    <w:p>
      <w:r>
        <w:t>FR: GE_GERICHTE ATAS/231/2020 du 12 mars 2020</w:t>
      </w:r>
    </w:p>
    <w:p>
      <w:r>
        <w:t>IT: GE_GERICHTE ATAS/231/2020 del 12 marzo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du 6 octobre 2006 est entrée en vigueur le 1er janvier 2008. Elle abroge et remplace la LPC du 19 mars 1965 (aLPC). Pour les prestations complémentaires cantonales, la novelle du 13 décembre 2007 est également entrée en vigueur le 1er janvier 2008. Elle modifie la LPCC du 25 octobre 1968 (aLPCC). Les nouvelles lois sont applicables en l'espèce, puisque la présente procédure porte sur les conséquences du versement de prestations indues pour une période postérieure à l'entrée en vigueur du nouveau droit (ATF 127 V 466 consid. 1; arrêt du Tribunal fédéral 8C_68/2008 du 27 janvier 2009 consid. 4.1).</w:t>
      </w:r>
    </w:p>
    <w:p>
      <w:r>
        <w:rPr>
          <w:b/>
        </w:rPr>
        <w:t>E. 4</w:t>
      </w:r>
    </w:p>
    <w:p>
      <w:r>
        <w:t>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w:t>
      </w:r>
    </w:p>
    <w:p>
      <w:r>
        <w:t>A/3067/2018 - 8/19 - transitoire (ATF 130 V 445 consid. 1.2.1; arrêt du Tribunal fédéral des assurances U 18/07 du 7 février 2008 consid. 1.2). Le droit aux prestations complémentaires du recourant se détermine dès lors selon les dispositions légales dans leur ancienne teneur pour la période jusqu'au 31 décembre 2010 et selon le nouveau droit pour les prestations dès cette date.</w:t>
      </w:r>
    </w:p>
    <w:p>
      <w:r>
        <w:rPr>
          <w:b/>
        </w:rPr>
        <w:t>E. 5</w:t>
      </w:r>
    </w:p>
    <w:p>
      <w:r>
        <w:t>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[LPCF]) auprès du tribunal des assurances du canton de domicile de l’assuré (art. 58 al. 1 LPGA). S’agissant des prestations complémentaires cantonales, l’art. 43 LPCC ouvre les mêmes voies de droit. En l’espèce, le recours a été déposé dans les forme et délai prévus par la loi, de sorte qu’il est recevable.</w:t>
      </w:r>
    </w:p>
    <w:p>
      <w:r>
        <w:rPr>
          <w:b/>
        </w:rPr>
        <w:t>E. 6</w:t>
      </w:r>
    </w:p>
    <w:p>
      <w:r>
        <w:t>Le litige porte sur la question de savoir si c’est à juste titre que l’intimé a requis du recourant la restitution des prestations complémentaires, pour la période courant du 1er décembre 2010 au 30 novembre 2017, et lui a nié le droit aux prestations à compter du 1er décembre 2017.</w:t>
      </w:r>
    </w:p>
    <w:p>
      <w:r>
        <w:rPr>
          <w:b/>
        </w:rPr>
        <w:t>E. 7</w:t>
      </w:r>
    </w:p>
    <w:p>
      <w:r>
        <w:t>a.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w:t>
      </w:r>
    </w:p>
    <w:p>
      <w:r>
        <w:t>A/3067/2018 - 9/19 -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 d. En l’espèce, suite au courrier du 7 octobre 2016 de M. POGGIA, Conseiller d’Etat, le recourant a annoncé spontanément à l’intimé l’existence d’un bien immobilier et d’une fortune mobilière au Portugal, non déclarés auparavant. Ces faits nouveaux justifient indéniablement la révision, avec effet ex tunc, des décisions d’octroi de prestations complémentaires erronées.</w:t>
      </w:r>
    </w:p>
    <w:p>
      <w:r>
        <w:rPr>
          <w:b/>
        </w:rPr>
        <w:t>E. 8</w:t>
      </w:r>
    </w:p>
    <w:p>
      <w:r>
        <w:t>a. En vertu de l'art. 25 al. 2 1ère phrase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140 V 521 consid. 2.1. ; ATF 133 V 579 consid. 4). Contrairement à la prescription, la péremption prévue à l’art. 25 al. 2 LPGA ne peut être ni suspendue, ni interrompue et lorsque s’accomplit l’acte conservatoire que prescrit la loi, comme la prise d’une décision, le délai se trouve sauvegardé une fois</w:t>
      </w:r>
    </w:p>
    <w:p>
      <w:r>
        <w:t>A/3067/2018 - 10/19 - pour toutes (ATF 124 V 380 ; arrêt du Tribunal fédéral des assurances C_271/04 du 21 mars 2006 consid. 2.5). b.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ATF 139 V 6 consid. 4.1). L'administration doit disposer de tous les éléments qui sont décisifs dans le cas concret et dont la connaissance fonde - quant à son principe et à son étendue - la créance en restitution à l'encontre de la personne tenue à restitution (ATF 140 V 521 consid. 2.1 précité;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Dans ce cas, le délai d’un an commence à courir à partir du moment où le montant de la restitution peut être exactement fixé (arrêt du Tribunal fédéral 9C_112/2011 du 5 août 2011 consid. 1.2 et les références). Dans tous les cas, le délai de péremption commence à courir immédiatement s'il s'avère que les prestations en question étaient clairement indues (arrêt du Tribunal fédéral 9C_454/2012 du 18 mars 2013 consid. 4 non publié in ATF 139 V 106 et les références). c.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 voir également arrêt du Tribunal fédéral 8C_592/2007 du 20 août 2008 consid. 5.3 et les références). Dans un tel cas, les exigences constitutionnelles en matière d’appréciation des preuves en procédure pénale s’appliquent (ATF 138 V 74 consid. 7; arrêt du Tribunal fédéral 8C_592/2007 du 10 août 2008 consid. 5.3). d. En matière de prestations complémentaires, ce sont principalement les art. 31 LPC (art. 16 aLPC), 146 et 148a du Code pénal du 21 décembre 1937 (CP - RS 311.0) qui entrent en considération lorsqu’il y a lieu de déterminer si le délai pénal doit trouver application. L'art. 31 al. 1 LPC prévoit qu'à moins qu'il ne s'agisse d'un crime ou d'un délit frappé d'une peine plus élevée par le code pénal, est puni d'une peine pécuniaire n'excédant pas 180 jours-amendes notamment, selon la let. a, celui qui, par des indications fausses ou incomplètes, ou de toute autre manière, obtient d'un canton ou d'une institution d'utilité publique, pour lui-même ou pour autrui, l'octroi indu d'une prestation au sens de la LPC, et, selon la let. d, celui qui manque à son obligation de communiquer au sens de l'art. 31 al. 1 LPGA. Conformément à cette</w:t>
      </w:r>
    </w:p>
    <w:p>
      <w:r>
        <w:t>A/3067/2018 - 11/19 - dernière disposition, l’ayant droit, ses proches ou les tiers auxquels une prestation est versée sont tenus de communiquer à l’assureur ou, selon le cas, à l’organe compétent, toute modification importante des circonstances déterminantes pour l’octroi d’une prestation. L'art. 31 LPC - également applicable en matière de prestations complémentaires cantonales conformément à l'art. 1A LPCC - est subsidiaire aux crimes et délits de droit commun (arrêt du Tribunal fédéral 6S.288/2000 du 28 septembre 2000 consid. 2). Entrent à cet égard en considération d'une part l'infraction d'escroquerie, prévue par l'art. 146 CP - selon lequel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 et d'autre part, depuis le 1er octobre 2016 (date d'entrée en vigueur de cette disposition adoptée le 20 mars 2015 dans le cadre de la mise en oeuvre de l'art. 121 al. 3 à 6 de la Constitution fédérale de la Confédération suisse du 18 avril 1999 [Cst. - RS 101] relatif au renvoi des étrangers criminels), l'infraction d'obtention illicite de prestations d'une assurance sociale ou de l'aide sociale prévue par l'art. 148a CP - selon lequel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Selon l'art. 97 al. 1 let. b à d CP (abstraction faite de la let. a, visant des infractions passibles d'une peine privative de liberté à vie), l'action pénale se prescrit par quinze ans si la peine maximale encourue est une peine privative de liberté de plus de trois ans (let. b), par dix ans si la peine maximale encourue est une peine privative de liberté de trois ans (let. c), et par sept ans si la peine maximale encourue est une autre peine (let. d). Le délai de prescription de l'action pénale pour une infraction telle que celle décrite aux art. 31 LPC et 148a CP est donc de sept ans, celui de l'infraction visée à l'art. 146 al. 1 CP de quinze ans. e. Conformément à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L'art. 31 al. 1 LPC est un délit intentionnel (Urs MÜLLER, Rechtsprechung des Bundesgerichts zum ELG, 3ème éd. 2015, p. 330 n. 926). Cela suppose que l'auteur</w:t>
      </w:r>
    </w:p>
    <w:p>
      <w:r>
        <w:t>A/3067/2018 - 12/19 - ait agi avec conscience et volonté, ou par dol éventuel (ATF 138 V 74 consid. 8.4.1). Il y a dol éventuel lorsque l'auteur envisage le résultat dommageable et agit, même s'il ne le souhaite pas,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133 IV 222 consid. 5.3). Peuvent également constituer des éléments extérieurs révélateurs les mobiles de l'auteur et la façon dont il a agi (ATF 138 V 74 consid. 8.4.1; ATF 135 IV 12 consid. 2.3.3). Il y a négligence consciente lorsque l'auteur envisage le résultat dommageable comme possible, mais, faisant preuve d'une imprévoyance coupable, il escompte que ce résultat - qu'il refuse - ne se produira pas. Celui qui agit par dol éventuel envisage lui aussi l'avènement du résultat dommageable. Mais il se distingue de celui qui agit par négligence consciente par le fait que, même s'il ne souhaite pas le résultat dommageable, il s'en accommode pour le cas où il se produirait (cf. notamment ATF 119 IV 1 consid. 5a). La différence se situe donc sur le plan de la volonté et non de la conscience, puisque l'auteur prévoit dans les deux cas de figure la possibilité que les conséquences se réalisent. Mais, dans le cas du dol éventuel, l'auteur veut (c'est-à-dire accepte) le résultat s'il se produit, alors qu'il compte qu'il ne se produira pas dans le cas de la négligence consciente (ATF 130 IV 83 consid. 1.2.1). Dans un arrêt 9C_171/2014 du 17 septembre 2014 (consid. 6.5.), rendu en matière de prestations complémentaires, le Tribunal fédéral a jugé que, compte tenu des informations demandées dans le formulaire de demande de prestations, lesquelles concernaient aussi bien sa situation personnelle que celles de son épouse ou de ses enfants, l'assuré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à l'administration, commettant ainsi un acte par dol éventuel. Le Tribunal fédéral a ainsi constaté que l'assuré réalisait les conditions objectives et subjectives de l'infraction réprimée à l'art. 31 al. 1 let. d LPC et que le délai de péremption de plus longue durée prévu par le droit pénal, soit en l'occurrence sept ans (art. 97 CP), était par conséquent applicable.</w:t>
      </w:r>
    </w:p>
    <w:p>
      <w:r>
        <w:rPr>
          <w:b/>
        </w:rPr>
        <w:t>E. 9</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w:t>
      </w:r>
    </w:p>
    <w:p>
      <w:r>
        <w:t>A/3067/2018 - 13/19 - peut être raisonnablement exigé d’elles, les preuves commandées par la nature du litige et des faits invoqués, faute de quoi elles risquent de devoir supporter les conséquences de l’absence de preuves (ATF 125 V 193 consid. 2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l’occurrence, l’intimé a appliqué le délai de péremption de sept ans ; en d’autres termes, il a considéré que le recourant ne s’était pas rendu coupable d'escroquerie. Rien ne justifie de s’écarter de cette appréciation, laquelle n’est pas remise en cause par les parties. Il convient dès lors d’examiner si le recourant a manqué à son obligation de communiquer au sens de l’art. 31 LPC, étant rappelé que l’art. 148a CP est applicable depuis le 1er octobre 2016 seulement et qu’à réception du courrier précité du 7 octobre 2016 de M. POGGIA, le recourant s’est manifesté immédiatement. Le recourant, en ne déclarant pas à l’intimé des éléments du revenu déterminant, a réalisé les conditions de l’infraction réprimée à l’art. 31 al. 1 let. a et d LPC. En effet, il ne pouvait ignorer que sa fortune mobilière et le bien immobilier détenus au Portugal étaient pertinents pour le calcul des prestations complémentaires, puisque la demande de prestations qu’il a signée le 2 mars 2015 contenait une rubrique portant sur la fortune mobilière détenue en Suisse et à l’étranger et sur l’existence d’une éventuelle propriété immobilière. Qui plus est, le recourant a été, par la suite, expressément interrogé sur sa fortune mobilière et immobilière en Suisse et à l’étranger. Il n’a alors pas mentionné, sur les formulaires qu’il a signés le 2 avril 2015, les avoirs bancaires et le bien immobilier détenus au Portugal. En outre, l’autorité lui a adressé chaque année une communication par laquelle elle attirait son attention sur son devoir de signaler tout changement dans sa situation personnelle et financière. Les décisions d’octroi de prestations faisaient également état de l’obligation du recourant de contrôler attentivement les montants figurant sur les plans de calculs et de s’assurer qu’ils correspondaient à sa situation réelle. Le recourant, conscient du fait qu’il détenait des informations qu’il avait l’obligation de transmettre à l’intimé, ne les a ainsi pas annoncées dans sa demande de prestations ; il ne s’est pas non plus manifesté à réception des décisions et des courriers de l’intimé. Dans ces conditions, il est malvenu de la part du recourant d’alléguer qu’il estimait ne pas avoir l’obligation d’annoncer les montants détenus sur des comptes sur</w:t>
      </w:r>
    </w:p>
    <w:p>
      <w:r>
        <w:t>A/3067/2018 - 14/19 - lesquels il n’avait, selon lui, pas la libre disposition, à savoir les PPR. En effet, il résulte des pièces versées à la procédure que les PPR en question n’ont été mis en place qu’à compter de 2016 (pièce 94 chargé intimé), soit postérieurement à la demande de prestations du 2 mars 2015. Le recourant a, ainsi, à tout le moins par dol éventuel, dissimulé une part de sa fortune et maintenu l’intimé dans l’erreur. Il a accepté l’éventualité que l’intimé lui octroie des prestations complémentaires auxquelles il n’avait pas droit, contrevenant ainsi manifestement à l’art. 31 al. 1 let. a et d LPC. Le délai de prescription de l’action pénale pour cette infraction étant de sept ans, c’est par conséquent un délai de péremption plus long que les délais relatif et absolu prévus par l’art. 25 al. 2 LPGA qui est applicable en l’occurrence. Dans ces conditions, il n’y a pas lieu d’examiner si l’intimé a agi dans le délai d’un an dès le moment où il a eu connaissance des faits (cf. arrêt du Tribunal fédéral 9C_400/2016 du 2 novembre 2016). L’intimé était donc fondé à réclamer, par ses décisions adressées au recourant le 20 novembre 2017, les prestations indues sur une période rétroactive de sept ans, soit jusqu’au 1er décembre 2010.</w:t>
      </w:r>
    </w:p>
    <w:p>
      <w:r>
        <w:rPr>
          <w:b/>
        </w:rPr>
        <w:t>E. 12</w:t>
      </w:r>
    </w:p>
    <w:p>
      <w:r>
        <w:t>Il convient dès lors de se prononcer sur le bien-fondé des montants retenus par l'intimé dans les décisions querellées.</w:t>
      </w:r>
    </w:p>
    <w:p>
      <w:r>
        <w:rPr>
          <w:b/>
        </w:rPr>
        <w:t>E. 13</w:t>
      </w:r>
    </w:p>
    <w:p>
      <w:r>
        <w:t>a.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le produit de la fortune mobilière et immobilière (let. b) ; un quinzième de la fortune nette, dans la mesure où elle dépasse CHF 25'000.- pour les personnes seules (CHF 37'500.- à compter du 1er janvier 2011) (let. c). Quant aux dépenses, elles comprennent notamment, selon l’art. 10 LPC, les frais d’entretien des bâtiments et les intérêts hypothécaires, jusqu’à concurrence du rendement brut de l’immeuble (al. 3 let. b). b. Sur le plan cantonal,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w:t>
      </w:r>
    </w:p>
    <w:p>
      <w:r>
        <w:t>A/3067/2018 - 15/19 - Les dépenses reconnues sont celles énumérées par la loi fédérale et ses dispositions d’exécution, à l’exclusion du montant destiné à la couverture des besoins vitaux, remplacé par le montant destiné à garantir le revenu minimum cantonal d’aide sociale défini à l’art. 3 (art. 6 LPCC). c. Selon l'art. 17 al. 1 de l'ordonnance sur les prestations complémentaires à l'assurance-vieillesse, survivants et invalidité du 15 janvier 1971 (OPC-AVS/AI - RS 831.301), la fortune prise en compte doit être évaluée selon les règles de la législation sur l'impôt cantonal direct du canton du domicile. Lorsque des immeubles ne servent pas d'habitation au requérant ou à une personne comprise dans le calcul de la prestation complémentaire, ils seront pris en compte à la valeur vénale (art. 17 al. 4 OPC-AVS/AI), soit la valeur du marché (ch. 3444.02 des Directives de l’OFAS concernant les prestations complémentaires à l’AVS et à l’AI ; DPC). En droit cantonal,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Dans ses commentaires concernant la modification de l'OPC-AVS/AI entrée en vigueur le 1er janvier 1992, l'Office fédéral des assurances sociales (ci-après OFAS) a relevé à propos de l'art. 17 al. 4 OPC-AVS/AI que la valeur vénale, soit la valeur qu'atteindrait un immeuble au cours de transactions normales, est en règle générale nettement plus élevée que la valeur fiscale ; il ne se justifie pas d'effectuer une réévaluation jusqu'à concurrence de la valeur vénale tant que le bénéficiaire de prestations complémentaires ou toute autre personne comprise dans le calcul de ladite prestation vit dans sa propre maison ; cela dit, il n'en va pas de même si l'immeuble ne sert pas d'habitation aux intéressés, et force est de penser qu'il convient alors de prendre en compte la valeur que l'immeuble représente véritablement sur le marché ; il ne serait pas équitable de garder un immeuble pour les héritiers, à la charge de la collectivité publique qui octroie des prestations complémentaires (arrêt du Tribunal fédéral des assurances P. 13/01 du 25 février 2002 consid 5c/aa; RCC 1991 p. 424). Pour les immeubles sis à l'étranger, on peut se fonder sur une estimation établie à l'étranger s'il n'est pas raisonnablement possible de procéder à une autre estimation (arrêt du Tribunal fédéral 9C_751/2018 du 16 avril 2019 consid. 7.2). d. Le revenu déterminant tiré d'un immeuble est celui qui pourrait effectivement être réalisé en cas de location, c'est-à-dire le loyer conforme au marché (cf. SVR 1997 EL n° 38 consid. 6). Il y a lieu de retenir un loyer conforme à l'usage local ou</w:t>
      </w:r>
    </w:p>
    <w:p>
      <w:r>
        <w:t>A/3067/2018 - 16/19 - un revenu moyen reflétant le rendement pendant la durée de vie des bâtiments situés sur le terrain lorsque le bénéficiaire de prestations complémentaires n'habite pas le bien immobilier et que celui-ci n'est pas loué. La chambre de céans a confirmé, à plusieurs reprises, que lorsqu'un immeuble n'est pas situé dans le canton de Genève, le recours à un taux forfaitaire de 4,5 % de la valeur vénale retenu à titre de valeur locative (au sens large) ou de rendement de l'immeuble n'est pas excessif, et ce, dans la mesure où les conditions locales ne peuvent pas être déterminées aisément, contrairement aux immeubles situés dans le canton (cf. ATAS/752/2017 ; ATAS/131/2017 ; ATAS/237/2012 ; ATAS/43/2010 ; ATAS /732/2009 ; ATAS/399/2007 ; ATAS 1040/2005, confirmé sur recours par l'arrêt du Tribunal fédéral P 57/05 du 29 août 2006). Enfin, la chambre de céans a également considéré qu'un taux de 5 % était admissible (ATAS/1127/2017 du 11 décembre 2017). e. Selon l'art. 16 al. 1 OPC-AVS/AI, une déduction forfaitaire prévue pour l'impôt cantonal direct dans le canton de domicile s'applique aux frais d'entretien des bâtiments. Cette déduction s'applique même si la personne n'habite pas le bien immobilier dont elle est propriétaire (ATAS/1122/2013 du 19 novembre 2013 consid. 16a et les références citées) et même si l'immeuble n'est pas situé dans le canton (ATAS/40/2018 du 22 janvier 2018 consid. 10c). A Genève, l’art. 20 al. 2 let. b du règlement d'application de la loi sur l'imposition des personnes physiques du 13 janvier 2010 (RIPP - D 3 08.1) prévoit que la déduction forfaitaire, calculée sur la valeur locative selon l’art. 24 al. 2 LIPP, est de 20 %, si l’âge du bâtiment au début de la période fiscale est supérieur à 10 ans.</w:t>
      </w:r>
    </w:p>
    <w:p>
      <w:r>
        <w:rPr>
          <w:b/>
        </w:rPr>
        <w:t>E. 14</w:t>
      </w:r>
    </w:p>
    <w:p>
      <w:r>
        <w:t>Pour le calcul de la prestation complémentaire fédérale annuelle, sont pris en compte en règle générale les revenus déterminants obtenus au cours de l'année civile précédente et l'état de la fortune le 1er janvier de l'année pour laquelle la prestation est servie. La prestation complémentaire annuelle doit toujours être calculée compte tenu des rentes, pensions et autres prestations périodiques en cours (al. 1 et 3 de l'art. 23 OPC-AVS/AI). Pour la fixation des prestations complémentaires cantonales,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 Ne sont notamment pas pris en considération dans la fortune, les éléments de fortune se trouvant à l’étranger et ne pouvant être transférés en Suisse ou réalisés pour une raison quelconque (ch. 3443.06 DPC).</w:t>
      </w:r>
    </w:p>
    <w:p>
      <w:r>
        <w:rPr>
          <w:b/>
        </w:rPr>
        <w:t>E. 15</w:t>
      </w:r>
    </w:p>
    <w:p>
      <w:r>
        <w:t>Le Tribunal fédéral des assurances a eu l'occasion de préciser que lorsqu'un nouveau calcul des prestations complémentaires est effectué dans le cadre de la révision impliquant une demande de restitution, il y a lieu de partir des faits tels</w:t>
      </w:r>
    </w:p>
    <w:p>
      <w:r>
        <w:t>A/3067/2018 - 17/19 -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selon laquelle le paiement d'arriérés est exclu, est contraire au droit (ATF 138 V 298 consid. 5.2.2).</w:t>
      </w:r>
    </w:p>
    <w:p>
      <w:r>
        <w:rPr>
          <w:b/>
        </w:rPr>
        <w:t>E. 16</w:t>
      </w:r>
    </w:p>
    <w:p>
      <w:r>
        <w:t>a. En l’occurrence, le recourant conteste la prise en compte de biens dessaisis d’un montant de CHF 46'000.- à compter du 1er juillet 2016. Il y a lieu de rappeler que le SPC, dans sa décision sur opposition du 26 juillet 2016, a fixé le montant des biens dessaisis à CHF 46’000.- à compter du 1er juillet 2016 et que cette décision n’a pas fait l’objet d’un recours de la part de l’intéressé. La question de l’existence de biens dessaisis de CHF 46'000.- dès le 1er juillet 2016 a ainsi déjà fait l’objet d’une décision formellement entrée en force. Partant, le recourant ne saurait, dans le cadre de la présente procédure, remettre en cause la prise en compte de ce montant. Il lui est toutefois loisible de requérir, auprès de l’intimé, la révision de la décision du 26 juillet 2016, s’il découvre des faits nouveaux importants ou trouve des nouveaux moyens de preuve qui ne pouvaient être produits auparavant (cf. art. 53 al. 1 LPGA). b. S’agissant de sa fortune mobilière, le recourant conteste la prise en compte des montants qu’il détient à titre de PPR auprès de la banque BPI, au motif qu’il ne peut en avoir la libre disposition. On relèvera déjà que dans la mesure où les PPR n’ont été mis en place qu’à compter de l’année 2016, le recourant reconnaît implicitement que la fortune qu’il détenait auprès de la banque BPI du 1er janvier 2010 au 1er janvier 2016 a été, à juste titre, prise en considération dans le calcul des prestations complémentaires pour la période courant du 1er décembre 2010 au 31 décembre 2016 (cf. art. 23 al. 1 OPC-AVS/AI et 9 al. 1 let. b LPCC). Reste ainsi à déterminer si c’est à juste titre que l’intimé a tenu compte, pour la période courant dès le 1er janvier 2017, de la fortune de CHF 303'154.35 (correspondant à EUR 260'553.82, pièce 94 chargé intimé) détenue par le recourant dans trois PPR (Ref. Segura PPR, Ref. Invest PPR et Reforma Afforo PPR).</w:t>
      </w:r>
    </w:p>
    <w:p>
      <w:r>
        <w:t>A/3067/2018 - 18/19 - À la lecture des pièces versées au dossier, la Cour de céans constate que le recourant n’a pas réussi à démontrer qu’il ne peut disposer librement de ce montant. Aux termes de la traduction libre des conditions générales - qui ne concernent qu’un seul PPR (le Reforma Aforro PPR) - le remboursement du montant peut être exigé à tout moment (art. 6.1.1). Cet article et l’art. 6.1.2 font certes état de certaines conditions à remplir, mais celles-ci concernent la non-application des conséquences fiscales en cas de remboursement. Au demeurant, quand bien même l’art. 6.1.2 viserait les conditions à remplir pour obtenir le remboursement du montant, il y a lieu de relever qu’au nombre de celles-ci figure l’invalidité. Or, le recourant est au bénéfice d’une rente d’invalide depuis le 1er mai 2010. Ainsi, c’est à juste titre que l’intimé a pris en considération l’intégralité de la fortune mobilière du recourant pour la période courant dès le 1er décembre 2010. c. Le recourant conteste également la prise en compte de la valeur vénale du bien immobilier sis au Portugal, vu son état d’insalubrité. Force est cependant de constater que l’intimé s’est fondé sur une estimation établie en 2017 par un expert mandaté par le recourant lui-même, lequel a d’ailleurs convenu, lors de son audition, que l’estimation tenait compte de l’état d’insalubrité du bien. Quand bien même le recourant estime que la valeur vénale retenue serait trop élevée, on ne saurait s’en écarter au profit de la valeur fiscale, puisque celle-ci ne peut être prise en compte que lorsque l’immeuble sert d’habitation aux intéressés. Le recourant ne prétend pas qu’une autre estimation serait justifiée pour la période antérieure à 2017. Il ne conteste pas non plus les montants retenus à titre de produit hypothétique du bien immobilier. Vu les modestes montants retenus par l’intimé (entre CHF 314.10 et CHF 442.80 du 1er décembre 2010 au 30 novembre 2017), et compte tenu de l’ampleur de l’excédent de revenus déterminants pendant cette période (entre CHF 15'802.- et CHF 31'360.-, sur le plan fédéral), la question de savoir si le recourant pouvait effectivement réaliser ces revenus en louant son bien peut rester ouverte. Enfin, il résulte des plans de calculs que l'intimé a omis de prendre en considération le montant forfaitaire des frais d'entretien du bâtiment, étant rappelé que cette déduction est applicable même si le bien immobilier est situé à l'étranger. Cela étant, il n’y a pas lieu de renvoyer la cause à l’intimé pour qu’il procède à de nouveaux calculs en tenant compte de cette dépense, dès lors qu’au vu de l’excédent des revenus déterminants pour la période courant dès le 1er décembre 2010, le recourant n’aurait, quoi qu’il en soit, pas droit à des prestations complémentaires.</w:t>
      </w:r>
    </w:p>
    <w:p>
      <w:r>
        <w:rPr>
          <w:b/>
        </w:rPr>
        <w:t>E. 17</w:t>
      </w:r>
    </w:p>
    <w:p>
      <w:r>
        <w:t>Compte tenu de ce qui précède, le recours doit être rejeté.</w:t>
      </w:r>
    </w:p>
    <w:p>
      <w:r>
        <w:rPr>
          <w:b/>
        </w:rPr>
        <w:t>E. 18</w:t>
      </w:r>
    </w:p>
    <w:p>
      <w:r>
        <w:t>Pour le surplus, la procédure est gratuite (art. 61 let. a LPGA et 89H al. 1 LPA).</w:t>
      </w:r>
    </w:p>
    <w:p>
      <w:r>
        <w:t>A/3067/2018 - 19/19 -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