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ATAS/231/2015 vom 25. März 2015</w:t>
      </w:r>
    </w:p>
    <w:p>
      <w:r>
        <w:t>GE Cour de justice, 2015-03-25, FR</w:t>
      </w:r>
    </w:p>
    <w:p>
      <w:r>
        <w:rPr>
          <w:b/>
        </w:rPr>
        <w:t xml:space="preserve">Quelle: </w:t>
      </w:r>
      <w:r>
        <w:t>https://mcp.opencaselaw.ch/entscheid/ge_gerichte_ATAS_231_2015</w:t>
      </w:r>
    </w:p>
    <w:p>
      <w:r>
        <w:t>FR: GE_GERICHTE ATAS/231/2015 du 25 mars 2015</w:t>
      </w:r>
    </w:p>
    <w:p>
      <w:r>
        <w:t>IT: GE_GERICHTE ATAS/231/2015 del 25 marzo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En ce que le recours a été interjeté dans les forme et délai légaux, il est recevable (art. 56 al. 1 et 60 al. 1 LPGA; art. 9 de la loi cantonale du 14 octobre 1965 sur les prestations fédérales complémentaires à l’assurance-vieillesse et survivants et à l’assurance-invalidité [LPFC; J 4 20]; art. 43 LPCC).</w:t>
      </w:r>
    </w:p>
    <w:p>
      <w:r>
        <w:t>A/3141/2014 - 6/11 -</w:t>
      </w:r>
    </w:p>
    <w:p>
      <w:r>
        <w:rPr>
          <w:b/>
        </w:rPr>
        <w:t>E. 4</w:t>
      </w:r>
    </w:p>
    <w:p>
      <w:r>
        <w:t>Se pose toutefois la question de l'objet du litige, l'intimée se prévalant de l'exception de la chose jugée. a. L'autorité de la chose jugée ou la force de chose jugée au sens matériel (materielle Rechtskraft) est un principe général permettant de s'opposer à ce qu'un jugement soit remis en discussion par les mêmes parties sur le même objet (ATF 133 III 580 consid. 2.1 p. 582).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ATF 123 III 16 consid. 2a ; ATF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ATF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 ATF 125 III 8 consid. 3b ; ATF 123 III 16 consid. 2a ; ATF 121 III 474 consid. 4a ; Arrêt du Tribunal fédéral 9C_146/2012 du 12 novembre 2012 consid. 4.1). b. En l’espèce, l’intimée conteste, entre autres, la prise en compte de biens dessaisis dans la décision querellée. Comme l’a très justement relevé la chambre administrative de la Cour de justice dans son arrêt ATA/814/2013 du 10 décembre 2013, la chambre de céans a déjà examiné et tranché définitivement le litige sous l’angle du montant correspondant à la totalité des biens dessaisis dans son arrêt ATAS/1129/2011 du 23 novembre 2011. Cet arrêt n’a fait l’objet d’aucun recours, de sorte qu’il est entré en force. Il lie par conséquent les parties, de sorte que les griefs de la recourante relatifs aux</w:t>
      </w:r>
    </w:p>
    <w:p>
      <w:r>
        <w:t>A/3141/2014 - 7/11 - biens dessaisis, du moins à la date du 31 décembre 2010, sont irrecevables, sous réserve d'une révision.</w:t>
      </w:r>
    </w:p>
    <w:p>
      <w:r>
        <w:rPr>
          <w:b/>
        </w:rPr>
        <w:t>E. 5</w:t>
      </w:r>
    </w:p>
    <w:p>
      <w:r>
        <w:t>En ce que la recourante demande la remise de l'obligation de restituer le montant de CHF 5'744.- en vertu de l'art. 25 al. 1 2ème phrase LPGA, il sied de relever que cette question fait l'objet d'une procédure distincte, une fois que la décision de restitution respectivement le jugement est entré en force, soit lorsqu'ils ne peuvent plus être contestés par une voie de droit (art. 4 al. 2 de l'ordonnance sur la partie générale du droit des assurances sociales du 11 septembre 2002 - OPGA - RS 830.11; art 5C al. 2 LPFC et art. 15 du règlement relatif aux prestations cantonales complémentaires à l'assurance-vieillesse et survivants et à l'assurance- invalidité [RPCC-AVS/AI – RSG J 4 25.03]; arrêt du Tribunal fédéral C 264/05 du 25 janvier 2006 consid. 2.1 ; arrêt du Tribunal fédéral P 63/06 du 14 mars 2007 consid.3 ; arrêt du Tribunal fédéral 9C_211/2009 du 26 février 2010, consid. 3.1). Par conséquent, les conclusions de la recourante tendant à la remise sont également irrecevables à ce stade de la procédure.</w:t>
      </w:r>
    </w:p>
    <w:p>
      <w:r>
        <w:rPr>
          <w:b/>
        </w:rPr>
        <w:t>E. 6</w:t>
      </w:r>
    </w:p>
    <w:p>
      <w:r>
        <w:t>Le litige porte ainsi exclusivement sur la question de savoir si c’est à juste titre que l’intimé a requis de la recourante la restitution des subsides de l’assurance-maladie versés pour la période courant du 1er septembre 2013 au 31 août 2014, tant dans son principe que dans sa quotité.</w:t>
      </w:r>
    </w:p>
    <w:p>
      <w:r>
        <w:rPr>
          <w:b/>
        </w:rPr>
        <w:t>E. 7</w:t>
      </w:r>
    </w:p>
    <w:p>
      <w:r>
        <w:t>S'agissant des prestations complémentaires fédérales, selon l'art. 25 al. 1 1ère phrase LPGA, en relation avec l'art. 2 al. 1 let. a de l'OPGA, les prestations complémentaires fédérales indûment touchées doivent être restituées par le bénéficiaire ou par ses héritiers. Au niveau cantonal, l'art. 24 al. 1 1ère phrase LPCC prescrit également que les prestations indûment touchées doivent être restituées.</w:t>
      </w:r>
    </w:p>
    <w:p>
      <w:r>
        <w:rPr>
          <w:b/>
        </w:rPr>
        <w:t>E. 8</w:t>
      </w:r>
    </w:p>
    <w:p>
      <w:r>
        <w:t>a. L'obligation de restituer suppose,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t>A/3141/2014 - 8/11 - b. En l'occurrence, le fait que la recourante partage depuis septembre 2013 l'appartement avec sa fille et sa petite-fille constitue assurément un fait nouveau autorisant l'intimé à modifier ses décisions précédentes portant sur l'octroi du subside d'assurance-maladie, dans la mesure où cela entraîne une diminution du loyer à la charge de la recourante. Partant, l'intimé était en droit de procéder à une révision de ses décisions.</w:t>
      </w:r>
    </w:p>
    <w:p>
      <w:r>
        <w:rPr>
          <w:b/>
        </w:rPr>
        <w:t>E. 9</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ou une rente d’invalidité, conformément à l’art. 4 al. 1 let. a LPC. b. Selon l'art. 9 al. 1 LPC, le montant de la prestation complémentaire annuelle correspond à la part des dépenses reconnues qui excède les revenus déterminants. c. Dans ces dépenses sont notamment compris le loyer d'un appartement (art. 10 al. 1 let. b LPC) et les primes d'assurance-maladie (art. 10 al. 3 let. d LPC). Conformément à l'art. 16c OPC,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Le montant du loyer est en principe réparti à parts égales entre toutes les personnes (al. 2). Selon la jurisprudence, le critère déterminant est le logement commun, indépendamment du fait de savoir s'il y a bail commun ou si l'un des occupants paie seul le loyer (ATF 127 V 17 consid. 6b ; arrêt du Tribunal administratif fédéral du</w:t>
      </w:r>
    </w:p>
    <w:p>
      <w:r>
        <w:rPr>
          <w:b/>
        </w:rPr>
        <w:t>E. 13</w:t>
      </w:r>
    </w:p>
    <w:p>
      <w:r>
        <w:t>Mal fondé, le recours est dès lors rejeté et la cause renvoyée à l'intimé pour statuer sur la demande de remise.</w:t>
      </w:r>
    </w:p>
    <w:p>
      <w:r>
        <w:rPr>
          <w:b/>
        </w:rPr>
        <w:t>E. 14</w:t>
      </w:r>
    </w:p>
    <w:p>
      <w:r>
        <w:t>Pour le surplus, la procédure est gratuite (art. 61 let. a LPGA et 89H al. 1 LPA).</w:t>
      </w:r>
    </w:p>
    <w:p>
      <w:r>
        <w:t>A/3141/2014 - 11/11 - PAR CES MOTIFS, LA CHAMBRE DES ASSURANCES SOCIALES : Statuant 1. Rejette le recours, dans la mesure où il est recevable. 2. Renvoie la cause à l'intimé pour statuer sur la demande de remise.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