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ATAS/230/2025 vom 1. April 2025</w:t>
      </w:r>
    </w:p>
    <w:p>
      <w:r>
        <w:t>GE Cour de justice, 2025-04-01, FR</w:t>
      </w:r>
    </w:p>
    <w:p>
      <w:r>
        <w:rPr>
          <w:b/>
        </w:rPr>
        <w:t xml:space="preserve">Quelle: </w:t>
      </w:r>
      <w:r>
        <w:t>https://mcp.opencaselaw.ch/entscheid/ge_gerichte_ATAS_230_2025</w:t>
      </w:r>
    </w:p>
    <w:p>
      <w:r>
        <w:t>FR: GE_GERICHTE ATAS/230/2025 du 1 avril 2025</w:t>
      </w:r>
    </w:p>
    <w:p>
      <w:r>
        <w:t>IT: GE_GERICHTE ATAS/230/2025 del 1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Le délai de recours est de trente jours (art. 60 al. 1 LPGA ; art. 43 LPCC ; art. 62 al. 1 let. a de la loi sur la procédure administrative du 12 septembre 1985 [LPA - E 5 10] et art. 43 LPCC).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 2.</w:t>
      </w:r>
    </w:p>
    <w:p>
      <w:r>
        <w:t>2.1 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w:t>
      </w:r>
    </w:p>
    <w:p>
      <w:r>
        <w:t>A/2798/2024 - 7/16 - lesquels la réforme des PC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PC (arrêt du Tribunal fédéral 9C_329/2023 du 21 août 2023 consid. 4.1). 2.2 En l’occurrence, le droit aux prestations complémentaires est né postérieurement au 1er janvier 2021, de sorte que les dispositions légales applicables seront citées dans leur nouvelle teneur. 3. Le litige porte sur le calcul du droit de la recourante à des prestations complémentaires dès le 1er août 2023, singulièrement sur la prise en considération de l’avoir de prévoyance encaissé par son époux dans le calcul de son droit aux prestations et, cas échéant, sur le montant retenu à titre de biens dessaisis pour le calcul des prestations complémentaires fédérales et sur le montant du capital déterminant pour fixer la rente hypothétique du 2ème pilier pour le calcul des prestations complémentaires cantonales. 4. Conformément à l'art. 4 al. 1 let. a LPC, les personnes qui ont leur domicile et leur résidence habituelle en Suisse ont droit à des prestations complémentaires, dès lors quelle perçoivent une rente de vieillesse de l'assurance-vieillesse et survivants (AVS) ou ont droit à une rente de veuve, de veuf ou d’orphelin de l’AVS. L’art. 9 LPC prévoit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(al. 1 let. a) ; 60% du montant forfaitaire annuel pour l’assurance obligatoire des soins au sens de l’art. 10 al. 3 let. d LPC (al. 1 let. b).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Pour les couples dont l’un des conjoints ou les deux vivent dans un home ou dans un hôpital, la prestation complémentaire annuelle est calculée séparément pour chacun des conjoints. La fortune est prise en compte a raison de la moitié pour chacun des conjoints. Les dépenses reconnues et les revenus déterminants sont généralement soumis au partage par moitié. Le Conseil fédéral règle les exceptions (al. 3). Le Conseil fédéral édicte des dispositions sur l’addition des dépenses reconnues et des revenus déterminants de membres d’une même famille ; il peut prévoir des exceptions, notamment pour ceux des enfants qui donnent droit à une rente pour enfant de l’AVS ou de l’AI (al. 5 let. a) ; l’évaluation des revenus déterminants, des dépenses reconnues et de la fortune (al. 5 let. b).</w:t>
      </w:r>
    </w:p>
    <w:p>
      <w:r>
        <w:t>A/2798/2024 - 8/16 - Au niveau cantonal, en application de l’art. 2 al. 1 LPCC, ont droit aux prestations complémentaires cantonales les personnes qui, notamment, ont leur domicile et leur résidence habituelle sur le territoire de la République et canton de Genève (let. a), qui sont au bénéfice d’une rente de l’AVS (let. b) et qui répondent aux autres conditions de la LPCC (let. d). L’art. 4 LPCC dispose qu’ont droit aux prestations complémentaires cantonales les personnes dont le revenu annuel déterminant n’atteint pas le revenu minimum cantonal d’aide sociale applicable. Conformément à l’art. 5 LPCC, le revenu déterminant est calculé conformément aux règles fixées dans la loi fédérale et ses dispositions d'exécution, moyennant certaines adaptations non pertinentes. 4.1 En vertu de l’art. 11 al. 1 LPC, les revenus déterminants comprennent notamment :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(let. c, 1ère phrase) ; les rentes, pensions et autres prestations périodiques, y compris les rentes de l’AVS et de l’AI (let. d). L’art. 17 al. 1 de l’ordonnance sur les prestations complémentaires à l’assurance- vieillesse, survivants et invalidité du 15 janvier 1971 (OPC-AVS/AI - RS 831.301) dispose que la fortune nette est calculée en déduisant les dettes prouvées de la fortune brute. L’art. 11 al. 1 LPC faisant mention de la « fortune nette », il y a lieu de déduire les dettes.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140 V 201 consid. 4.2 ; arrêt du Tribunal fédéral 9C_365/2018 du 12 septembre 2018 consid. 3.2 ; ATAS/548/2022 du 15 juin 2022 consid. 6.1). 4.2 La question des dessaisissements fait, depuis le 1er janvier 2021, l’objet d’un article spécifique, l’art. 11a LPC, précisé par des dispositions de l’OPC-AVS/AI. Selon l’art. 11a LPC, si une personne renonce volontairement à exercer une activité lucrative que l’on pourrait raisonnablement exiger d’elle, le revenu hypothétique correspondant est pris en compte comme revenu déterminant. La prise en compte de ce revenu est réglée par l’art. 11 al. 1 let. a (al. 1). Les autres revenus, parts de fortune et droits légaux ou contractuels auxquels l’ayant droit a renoncé sans obligation légale et sans contre-prestation adéquate sont pris en compte dans les revenus déterminants comme s’il n’y avait pas renoncé (al. 2). Un</w:t>
      </w:r>
    </w:p>
    <w:p>
      <w:r>
        <w:t>A/2798/2024 - 9/16 -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 (al. 3). L’al. 3 s’applique aux bénéficiaires d’une rente de vieillesse de l’AVS également pour les dix années qui précèdent la naissance du droit à la rente (al. 4). L’art. 17b OPC-AVS/AI précise qu’il y a dessaisissement de fortune lorsqu’une personne aliène des parts de fortune sans obligation légale et que la contre-prestation n’atteint pas au moins 90% de la valeur de la prestation (let. a) ou a consommé, au cours de la période considérée, une part de fortune excédant ce qui aurait été admis sur la base de l’art. 11a al. 3 LPC (let. b). Selon l’art. 17e OPC-AVS/AI, le montant de la fortune qui a fait l’objet d’un dessaisissement au sens de l’art. 11a al. 2 et 3 LPC et qui doit être pris en compte dans le calcul de la prestation complémentaire est réduit chaque année de CHF 10'000.- (al. 1).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 4.2.1 L'art. 11a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L’art. 11a al. 3 complète l’al. 2 en précisant que, même en présence d’une contre-prestation adéquate, la consommation de la fortune ne doit pas dépasser un certain plafond. En d’autres termes, indépendamment des preuves d’achat fournies, le calcul de la prestation complémentaire tiendra compte d’un dessaisissement de fortune lorsque celle-ci aura été dépensée dans un court laps de temps sans que la personne se soit souciée de l’avenir. Les pertes de fortune</w:t>
      </w:r>
    </w:p>
    <w:p>
      <w:r>
        <w:t>A/2798/2024 - 10/16 - involontaires qui ne sont pas imputables à une action intentionnelle ou à une imprudence du bénéficiaire des prestations complémentaires ne sont pas considérées comme une consommation de la fortune et ne tombent donc pas sous le coup de cette disposition. Aucun dessaisissement n’est par exemple pris en compte en cas de perte imprévisible sur un placement financier raisonnable ou en cas d’irrécouvrabilité d’un prêt qui n’était pas prévisible au moment où le prêt a été consenti. Les limites fixées permettent de déterminer si la fortune a été dépensée trop rapidement ou non. Dans la mesure où l’organe d’exécution constate l’existence d’un dessaisissement de fortune, le montant de CHF 10'000.- par année prévu à l’art. 17a al. 1 OPC-AVS/AI doit être pris en compte, comme c’est actuellement le cas (Message du Conseil fédéral relatif à la modification de la loi sur les prestations complémentaires [Réforme des PC] du 16 septembre 2016, FF 2016 7249 p. 7323 ; cf. arrêt du Tribunal fédéral 9C_50/2022 du 17 mai 2022 consid. 3.1). Selon l'al. 3 des dispositions transitoires de la modification du 22 mars 2019, l'art. 11a al. 3 et 4 LPC ne s'applique qu'à la fortune qui a été dépensée après l'entrée en vigueur de la présente modification (arrêt du Tribunal fédéral 9C_329/2023 du 21 août 2023 consid. 4.2). Pour les années antérieures, une diminution substantielle de la fortune doit être examinée à la lumière de l’art. 11a al. 2 LPC (CARIGIET/KOCH, Ergänzungsleistungen zur AHV/IV, 2021, p. 249, n. 640 in fine et la référence aux Directives concernant les prestations complémentaires à l’AVS et à l’AI [ci-après : DPC], ch. 3532.09, valable depuis le 1er janvier 2021). 4.2.2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(DPC, ch. 3532.04 ; ATF 120 V 182 consid. 4b ; arrêt du Tribunal fédéral 9C_67/2011 du 29 août 2011 consid. 5.1).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(ATF 146 V 306 consid. 2.3.1 ; arrêt du Tribunal fédéral 9C_667/2021 du 17 mai 2022 consid. 3.3 et les références ; ATAS/1180/2022 du 22 décembre 2022 consid. 7.1). Lorsque la fortune diminue de façon substantielle sans que le bénéficiaire des prestations complémentaires puisse prouver l’utilisation qu’il en a faite, on suppose, en principe, qu’il y a dessaisissement (DPC, ch. 3532.09).</w:t>
      </w:r>
    </w:p>
    <w:p>
      <w:r>
        <w:t>A/2798/2024 - 11/16 - Si le bénéficiaire des prestations complémentaires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(DPC,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des prestations complémentaires, de son conjoint et des enfants qui étaient mineurs ou qui n’avaient pas encore achevé leur formation et étaient âgés de moins de 25 ans au moment du dessaisissement de fortune (DPC, ch. 3532.11). Le montant forfaitaire pour l’entretien usuel est déterminé en multipliant le montant destiné à la couverture des besoins vitaux pour les personnes seules tel que défini à l’annexe 5.1 par le facteur correspondant tel que défini à l’annexe 8 (DPC, ch. 3532.12). Le montant de la part de fortune qui a dû être utilisé pour l’entretien usuel en cas de revenus insuffisants correspond à la différence entre le montant forfaitaire pour l’entretien usuel applicable, y compris les contributions d’entretien, et le revenu effectif (DPC ch. 3532.15). 4.3 S’agissant des prestations complémentaires cantonales, l’art. 2 al. 4 LPCC dispose que les personnes qui ont choisi au moment de la retraite un capital de prévoyance professionnelle en lieu et place d’une rente et qui l’ont consacré à un autre but que celui de la prévoyance ne peuvent bénéficier des prestations accordées en application de la présente loi. Ainsi, le capital LPP dépensé, en tout ou partie, au jour du calcul des prestations complémentaires, est pris en considération selon les règles du dessaisissement en matière de prestations complémentaires fédérales, alors qu'en matière de prestations complémentaires cantonales, il est fait application de l'art. 2 al. 4 LPCC et de la jurisprudence y relative (ATAS/501/2023 du 28 juin 2023 consid. 8.1 ; ATAS/703/2022 du 11 août 2022 consid. 13.2). Selon la jurisprudence rendue en application de l’art. 2 al. 4 LPCC, l’utilisation du capital de prévoyance afin de couvrir les besoins vitaux relève d’un but de prévoyance. La chambre de céans a jugé que l’on pouvait résumer ainsi les principes régissant l’octroi de prestations complémentaires cantonales en cas de retrait du 2ème pilier en capital : si le capital de prévoyance n’est pas épuisé selon le calcul de la couverture des besoins, il convient de calculer les revenus déterminants en y intégrant la rente du 2ème pilier à laquelle l’assuré aurait pu prétendre en lieu et place du capital. Si ces revenus excèdent les dépenses reconnues, l’assuré n’a pas droit aux prestations complémentaires cantonales. Si</w:t>
      </w:r>
    </w:p>
    <w:p>
      <w:r>
        <w:t>A/2798/2024 - 12/16 - au contraire ces revenus sont inférieurs aux dépenses reconnues, l’assuré peut prétendre aux prestations complémentaires cantonales qui lui auraient été servies en cas de versement d’une rente de la prévoyance professionnelle. En revanche, dès qu’il est établi que le capital de prévoyance a été entièrement utilisé selon le calcul de la couverture des besoins, l’assuré a droit dans tous les cas à des prestations complémentaires cantonales. Dans cette dernière hypothèse, leur calcul s’opère sans tenir compte d’une rente hypothétique de la prévoyance professionnelle à titre de revenu (ATAS/808/2021 du 16 août 2021 ; ATAS/191/2018 du 5 mars 2018 ; ATAS/84/2018 du 30 janvier 2018). La notion de besoins vitaux n’est pas expressément définie par la LPC et la LPCC. Par conséquent, pour en déterminer la teneur, on peut se référer au règlement d'exécution de la loi sur l'insertion et l'aide sociale individuelle (RIASI - J 4 04.01 ; ATAS/3670/2017 du 30 janvier 2018 consid. 9). Aussi, la notion de besoins vitaux englobe en tout cas la couverture des besoins de base décrits dans ce règlement, soit le forfait mensuel pour l’entretien (art. 2), les loyers et charges (art. 3), la prime d'assurance-maladie obligatoire des soins (art. 4), les pensions alimentaires et contributions d'entretien (art. 4A) et les prestations circonstancielles (art. 5). Selon l’art. 2 al. 2 RIASI, la prestation de base couvre notamment les besoins suivants : alimentation ; habillement ; consommation d'énergie, sans les charges locatives ; entretien du ménage ; achats de menus articles courants ; frais de santé (tels que médicaments achetés sans ordonnance), sans franchise ni quote-part ; transport ; communication ; loisirs et formation; soins corporels ; équipement personnel (tel que fournitures de bureau). 4.4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I 339/03 du 19 novembre 2003 consid. 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w:t>
      </w:r>
    </w:p>
    <w:p>
      <w:r>
        <w:t>A/2798/2024 - 13/16 - conséquences de l'absence de preuves (ATF 125 V 193 consid. 2 et les références). 5. En l’espèce, la recourante ne conteste pas que son mari a encaissé un capital de retraite de CHF 514'675.55 en 2015, correspondant à un montant de CHF 477'469.- après déduction de l'impôt, ni que cet avoir a été placé dans le portefeuille de titres UBS 1______, comme retenu dans la décision attaquée. Elle reproche en revanche à l’intimé d’avoir déterminé son droit aux prestations en tenant compte de la rente hypothétique du 2ème pilier de son époux, soulignant qu’elle n’était pas la bénéficiaire du versement du capital. Elle fait également grief à l’intimé de ne pas avoir déduit les frais d’avocat que son mari et elle ont déboursés, faisant valoir que de telles impenses ne peuvent pas être assimilées à une consommation excessive de fortune. L’intimé aurait ainsi dû les prendre en considération dans son calcul du dessaisissement de fortune. De plus, ce montant aurait dû être déduit de celui pris en compte pour calculer la rente théorique sur la base d’un taux de 6.8%. 5.1 La chambre de céans rappelle que la loi prévoit expressément que les dépenses reconnues et les revenus déterminants des conjoints sont additionnés. Toutefois, lorsque l’un des conjoints ou les deux vivent dans un home ou dans un hôpital, la prestation complémentaire annuelle est calculée séparément pour chacun des conjoints. Dans un tel cas, la fortune est prise en compte à raison de la moitié pour chacun des conjoints, et les dépenses reconnues et les revenus déterminants sont généralement soumis au partage par moitié. La recourante ne nie pas qu’elle vivait bien avec son mari à leur domicile commun entre le 1er août 2023 et le 31 mars 2024, date à partir de laquelle l’intimé a repris le calcul des prestations complémentaires afin de tenir compte de la nouvelle situation de l’intéressée, singulièrement de l’entrée en institution de son mari, ce qui justifiait effectivement de corriger les montants des dépenses reconnues et des revenus déterminants. Pour la période restant litigieuse, la décision attaquée du 28 juin 2024 n’apparait pas critiquable, l’intimé étant fondé à additionner les revenus déterminants et les dépenses reconnues des deux conjoints. 5.2 L’intimé a pris en compte un bien dessaisi dans le calcul des prestations complémentaires fédérales et une rente hypothétique du 2ème pilier dans le calcul du droit aux prestations complémentaires cantonales. 5.2.1 Au plan fédéral, il a notamment rappelé que la décision litigieuse comportait les tableaux ayant permis de déterminer les montants des biens dessaisis en raison d'une « consommation excessive » au sens de l’art. 11a al. 3 LPC durant les années 2017 ou 2018. Il a soutenu, dans le cadre de sa réplique, que les honoraires d'avocat ne pouvaient être déduits de la fortune dessaisie que s’ils concernaient les deux années en cause, et pour autant qu’ils constituent un « motif important » au</w:t>
      </w:r>
    </w:p>
    <w:p>
      <w:r>
        <w:t>A/2798/2024 - 14/16 - sens de la loi. Il a considéré, en se référant à l’art. 17d al. 3 let. b OPC-AVS/AI, que les frais d’avocat ne faisaient pas partie d’un tel motif retenu par le législateur et qu’ils n’avaient donc pas à être déduits du montant des biens dessaisis, arrêtés à CHF 39'730.40 au 1er janvier 2023 et à CHF 29'730.40 au 1er janvier 2024. La chambre de céans relève cependant que l’art. 11a al. 3 LPC ne s’applique pas au cas d’espèce, la fortune ayant été dépensée avant l'entrée en vigueur, le 1er janvier 2021, de la modification du 22 mars 2019. Aucune consommation excessive de la fortune ne saurait donc être retenue. Seule est déterminante la question de savoir s’il peut être considéré que la recourante a renoncé sans obligation légale et sans contre-prestation adéquate à une part de sa fortune. Or, l’intimé n’a pas du tout instruit le dossier sur ce point. Il n’a en particulier pas cherché à déterminer et comparer les dépenses reconnues et les revenus déterminants au sens de l’art. 9 al. 1 LPC. La décision entreprise ne fait aucune référence aux revenus dont disposait le couple entre 2015 et 2023, soit durant la période pendant laquelle sa fortune a diminué, de sorte qu’on ignore si leurs revenus étaient suffisants pour leur entretien usuel. De plus, si l’intimé s’est enquis, par courrier du 11 décembre 2023 et rappels des</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11</w:t>
      </w:r>
    </w:p>
    <w:p>
      <w:r>
        <w:t>janvier et 12 février 2024, de l’utilisation qui avait été faite du capital du 2ème pilier, il convient de relever que ces missives ont été adressées au SPAd, et seulement en copie à la recourante, laquelle n’est pas représentée par ledit service et n’était à l’époque pas assistée. Une demande de renseignement adressée directement à la bénéficiaire de prestations semblait donc s’imposer, ce d’autant plus que le SPAd avait signalé à l’intimé ses difficultés à collaborer avec l’intéressée. Cela étant, dans le cadre de la procédure d’opposition, la recourante a clairement demandé à l’intimé, par courrier du 20 juin 2024, de reprendre certains éléments du calcul, dont le montant des biens dessaisis et de la rente hypothétique. Elle s’est prévalue de justificatifs joints à sa lettre, lesquelles semblent toutefois avoir été omis de l’envoi, puisqu’ils sont parvenus à l’intimé le 1er juillet 2024 seulement, d’après le tampon apposé sur la première page des documents enregistrés sous pièce 31. Dès lors que la recourante a expressément mentionné disposer de documents attestant de ses dépenses, susceptibles de remettre en cause les montants retenus à titre de biens dessaisis et de rente hypothétique, l’intimé aurait dû attendre de les recevoir afin de les analyser avant de statuer sur l’opposition. Qui plus est, le SPAd, lequel a également contesté la décision du 15 avril 2024, a fait état de poursuites, étayées par pièce, dans son courrier du 25 juin 2024. L’intimé n’en a cependant pas tenu compte dans la décision contestée, sans explication, alors que les dettes doivent être déduites du montant de la fortune nette.</w:t>
      </w:r>
    </w:p>
    <w:p>
      <w:r>
        <w:t>A/2798/2024 - 15/16 - L’intimé ayant déterminé de façon erronée le montant de la renonciation à des parts de fortune, en tenant compte d’une consommation excessive de la fortune, la décision litigieuse est mal fondée. 5.2.2 Au plan cantonal, il est rappelé que le droit aux prestations dépend de la question de savoir si le capital de prévoyance a été affecté à la couverture des besoins vitaux. Cette question n’a pas non plus été examinée par l’intimé qui n’a pas établi les besoins vitaux du couple depuis le moment où le capital de prévoyance a été versé. 5.3 Partant, la cause doit être renvoyée à l’intimé afin qu’il reprenne le calcul du droit aux prestations de la recourante en tenant compte des dispositions applicables. Il lui incombera notamment de vérifier si la diminution du capital de retraite perçu par l’époux de la recourante en 2015 est, à tout le moins partiellement, justifiée par l’acquisition de contre-prestations correspondantes. À cet égard, il est rappelé que la recourante a fait état de dépenses pour plus de CHF 450'000.-, comprenant notamment des frais médicaux, de cliniques, d’IMAD, de fiduciaire, d’avocat, d’aide-ménagère et de restaurant, ou encore du paiement de primes d’assurance complémentaire et d’impôts, et qu’elle a produit un certain nombre de documents visant à les attester. Il conviendra également de tenir compte des dettes documentées dans le calcul de la fortune nette. 6. Au vu de ce qui précède, le recours sera admis et la décision du 28 juin 2024 annulée au sens des considérants. La recourante obtenant partiellement gain de cause, une indemnité de CHF 1'000.-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A/2798/2024 - 16/16 -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