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ATAS/230/2021 vom 15. März 2021</w:t>
      </w:r>
    </w:p>
    <w:p>
      <w:r>
        <w:t>GE Cour de justice, 2021-03-15, FR</w:t>
      </w:r>
    </w:p>
    <w:p>
      <w:r>
        <w:rPr>
          <w:b/>
        </w:rPr>
        <w:t xml:space="preserve">Quelle: </w:t>
      </w:r>
      <w:r>
        <w:t>https://mcp.opencaselaw.ch/entscheid/ge_gerichte_ATAS_230_2021</w:t>
      </w:r>
    </w:p>
    <w:p>
      <w:r>
        <w:t>FR: GE_GERICHTE ATAS/230/2021 du 15 mars 2021</w:t>
      </w:r>
    </w:p>
    <w:p>
      <w:r>
        <w:t>IT: GE_GERICHTE ATAS/230/2021 del 15 marzo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recourante a droit à une API, singulièrement si les conditions de la nécessité d’un accompagnement durable pour faire face aux nécessités de la vie sont réalisées.</w:t>
      </w:r>
    </w:p>
    <w:p>
      <w:r>
        <w:rPr>
          <w:b/>
        </w:rPr>
        <w:t>E. 4</w:t>
      </w:r>
    </w:p>
    <w:p>
      <w:r>
        <w:t>a. Selon l’art. 42 LAI, les assurés impotents (art. 9 LPGA) qui ont leur domicile et leur résidence habituelle (art. 13 LPGA) en Suisse ont droit à une API.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b. L’art. 37 du règlement du 17 janvier 1961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w:t>
      </w:r>
    </w:p>
    <w:p>
      <w:r>
        <w:t>A/3332/2020 - 13/20 - peut entretenir des contacts sociaux avec son entourage que grâce à eux (let. d), ou d’un accompagnement durable pour faire face aux nécessités de la vie au sens de l’art. 38 (al. 3). c.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121 V 90 consid. 3a et les références citées).</w:t>
      </w:r>
    </w:p>
    <w:p>
      <w:r>
        <w:rPr>
          <w:b/>
        </w:rPr>
        <w:t>E. 5</w:t>
      </w:r>
    </w:p>
    <w:p>
      <w:r>
        <w:t>a. Aux termes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b.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 arrêt du Tribunal fédéral 9C_131/2019 du 16 août 2019 consid. 4.1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 tiers est apportée, mais la circonstance que, grâce à elle, la personne puisse acquérir l’indépendance nécessaire dans son habitat (arrêt du Tribunal fédéral I 1013/06 du 9 novembre 2007 consid. 5.4).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représente, selon l’expérience générale de la vie, un investissement temporel de plus de deux heures par semaine, de sorte que le caractère régulier de l’aide nécessitée est dans ce cas réalisé (arrêt du Tribunal fédéral 9C_1056/2009 du 10 mai 2010 consid. 4.3 et les références). Les seules difficultés dans l’accomplissement des tâches ménagères, de la préparation des repas et des commissions ne constituent toutefois pas des empêchements pour vivre</w:t>
      </w:r>
    </w:p>
    <w:p>
      <w:r>
        <w:t>A/3332/2020 - 14/20 - de manière indépendante (arrêt du Tribunal fédéral 9C_907/2011 du 21 mai 2012 consid. 4.2.3). La nécessité de l’aide apportée par une tierce personne doit être examinée de manière objective, selon l’état de santé de l’assuré concerné, indépendamment de l’environnement dans lequel celui-ci se trouve;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Si la question de savoir comment s’organiserait la communauté familiale dans le cas où elle ne devait pas percevoir de prestations d’assurance est certes importante, l’aide exigible ne doit toutefois pas devenir excessive ou disproportionnée. Sauf à vouloir vider l’institution de l’API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(arrêt du Tribunal fédéral 9C_567/2019 du 23 décembre 2019 consid. 6.2 et les références). c. Dans la deuxième éventualité (accompagnement pour les activités hors du domicile), l’accompagnement pour faire face aux nécessités de la vie doit permettre à la personne assurée de quitter son domicile pour certaines activités ou rendez- vous nécessaires, tels les achats, les loisirs ou les contacts avec les services officiels, le personnel médical ou le coiffeur (arrêt du Tribunal fédéral 9C_131/2019 du 16 août 2019 consid. 4.1 et la référence). d. Dans la troisième éventualité, l’accompagnement en cause doit prévenir le risque d’isolement durable ainsi que de la perte de contacts sociaux et, par là, la péjoration subséquente de l’état de santé de la personne assurée (arrêt du Tribunal fédéral précité consid. 4.1 et la référence). Un risque purement hypothétique d’isolement du monde extérieur ne suffit pas. L’isolement et la détérioration subséquente de l’état de santé doivent au contraire s’être déjà manifestés (arrêt du Tribunal fédéral 9C_543/2007 du 28 avril 2008 consid. 5.2.2). Le risque d’isolement doit ainsi être interprété de manière stricte (arrêt du Tribunal fédéral 9C_578/2013 du 18 août 2014 consid. 3.4 in fine). L’accompagnement nécessaire consiste à s’entretenir avec l’assuré en le conseillant et à le motiver pour établir des contacts en l’emmenant, par exemple, assister à des manifestations (arrêt du Tribunal fédéral I 46/07 du 29 octobre 2007 consid. 3.5 et la référence). e. L’art. 38 al. 3 1ère phrase RAI précise que n’est pris en considération que l’accompagnement qui est régulièrement nécessaire et lié aux situations mentionnées à l’al. 1. Selon le chiffre 8053 de la CIIAI, l’accompagnement est régulier au sens de l’art. 38 al. 3 RAI lorsqu’il est nécessité en moyenne au moins deux heures par semaine sur une période de trois mois. Le Tribunal fédéral a</w:t>
      </w:r>
    </w:p>
    <w:p>
      <w:r>
        <w:t>A/3332/2020 - 15/20 - reconnu que cette notion de la régularité était justifiée d’un point de vue matériel et partant conforme aux dispositions légales et réglementaires (arrêt du Tribunal fédéral 9C_131/2019 du 16 août 2019 consid. 4.2 et les références). f.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du 16 août 2019 consid. 4.1 et les références). Ainsi, l’aide déjà prise en compte sous l’angle du besoin d’assistance pour accomplir les actes ordinaires de la vie ne peut fonder un droit à une allocation au sens de l’art. 38 RAI (arrêt du Tribunal fédéral 9C_688/2014 du 1er juin 2015 consid. 3.6 et les références). L’empêchement de se mouvoir à la maison ou en dehors de celle-ci qui nécessite une aide pour accomplir les actes ordinaires de la vie n’exclut toutefois pas un besoin d’accompagnement au sens de l’art. 38 RAI (arrêt du Tribunal fédéral 9C_135/2014 du 14 mai 2014 consid. 4.3.1 et les références). Il n’est pas nécessaire que l’accompagnement pour faire face aux nécessités de la vie soit assuré par un personnel d’encadrement qualifié ou spécialement formé (arrêt du Tribunal fédéral I 652/06 du 25 juillet 2007 consid. 5.2).</w:t>
      </w:r>
    </w:p>
    <w:p>
      <w:r>
        <w:rPr>
          <w:b/>
        </w:rPr>
        <w:t>E. 6</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API (voir arrêt du Tribunal fédéral des assurances U.146/02 du 10 février 2003 consid. 4.2).</w:t>
      </w:r>
    </w:p>
    <w:p>
      <w:r>
        <w:rPr>
          <w:b/>
        </w:rPr>
        <w:t>E. 7</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w:t>
      </w:r>
    </w:p>
    <w:p>
      <w:r>
        <w:t>A/3332/2020 - 16/20 -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w:t>
      </w:r>
    </w:p>
    <w:p>
      <w:r>
        <w:rPr>
          <w:b/>
        </w:rPr>
        <w:t>E. 10</w:t>
      </w:r>
    </w:p>
    <w:p>
      <w:r>
        <w:t>a. Selon l’art. 42 al. 4 LAI, l’API est octroyée au plus tôt à la naissance et au plus tard à la fin du mois au cours duquel l’assuré a fait usage de son droit de percevoir une rente anticipée, conformément à l’art. 40 al. 1 de la loi fédérale sur l’assurance- vieillesse et survivants, du 20 décembre 1946 (LAVS - RS 831.10), ou du mois au cours duquel il a atteint l’âge de la retraite. La naissance du droit à l’API est régie, à partir de l’âge d'un an, par l’art. 29 al. 1 LAI (actuellement : art. 28 al. 1 let. b LAI ; ATF 137 V 351 consid. 4 et 5). Dès lors que les conditions posées par l’art. 28 al. 1 let. b LAI s’agissant du droit à la rente d’invalidité sont applicables par analogie au domaine des allocations pour</w:t>
      </w:r>
    </w:p>
    <w:p>
      <w:r>
        <w:t>A/3332/2020 - 17/20 - impotent, il en résulte qu’un droit à une telle prestation ne peut pas naître avant l’échéance d’un délai de carence d’une année à compter de la survenance de l’impotence (arrêt du Tribunal fédéral 9C_326/2017 du 18 septembre 2017 consid. 3.1). Le niveau de l’API est alors déterminé d’une part, d’après le degré d’impotence existant au cours du délai d’attente et d’autre part, selon l’étendue de l’impotence persistant une fois le délai d’attente écoulé (ATF 111 V 226 consid. 3). En cas de variations du degré d’impotence pendant la période d’attente d’une année, il y a lieu de rechercher, en se référant aux taux d’indemnisation fixés à l’art. 42ter LAI, le degré d’impotence moyen qui est déterminant pour le calcul du montant de l’allocation au moment de la naissance du droit. Selon l’art. 42ter al. 1 LAI, une impotence grave s’élève à 80 %, une impotence moyenne à 50 % et une impotence faible à 20 % (ATF 125 V 256 consid. 4 ; VALTERIO, op cit., n. 71 ad art. 42 LAI). b. À teneur de l’art. 35 al. 1 RAI, le droit à l’API prend naissance le premier jour du mois au cours duquel toutes les conditions de ce droit sont réalisées.</w:t>
      </w:r>
    </w:p>
    <w:p>
      <w:r>
        <w:rPr>
          <w:b/>
        </w:rPr>
        <w:t>E. 11</w:t>
      </w:r>
    </w:p>
    <w:p>
      <w:r>
        <w:t>En l’occurrence, l’intimé s’est fondé sur le rapport d’enquête du 22 juin 2020 pour nier la nécessité pour la recourante d’un accompagnement durable pour faire face aux nécessités de la vie, étant rappelé que l’absence de besoin d’aide pour accomplir les actes élémentaires de la vie quotidienne a déjà été constaté dans l’arrêt précité de la chambre de céans du 2 décembre 2019. L’enquêtrice a tout d’abord constaté que le besoin d’aide de la recourante existait à raison de trois heures et quarante minutes par semaine ; elle a cependant considéré, dans un second temps, que cette aide était, compte tenu de l’exigibilité de l’ex- époux de la recourante, inférieure à la limite jurisprudentielle précitée de deux heures par semaine ; elle a en effet relevé que, bien que divorcée, la recourante continuait à partager l’appartement avec son ex-époux et à maintenir une certaine communauté de vie, dont on pouvait tenir compte au même titre qu’un membre de la famille ou un concubin. S’agissant de l’exigibilité de l’ex-époux, la recourante ne conteste pas ce raisonnement, lequel peut être, sur le principe, confirmé. En effet, l’aide apportée par l’ex-époux de la recourante peut être prise en compte dès lors que celui-ci partage encore le logement de la recourante et participe aux activités ménagères, dans le cadre d’une communauté de vie (à cet égard, arrêts du Tribunal fédéral 8C 828/2011 du 27 juillet 2012 et 9C 567/2019 du 23 décembre 2019). Cela dit, il n’y a, contrairement à l’avis de la recourante, pas de contradiction dans le raisonnement de l’intimé lorsque celui-ci constate que malgré une aide nécessaire de trois heures et quarante minutes, le besoin d’accompagnement, compte tenu de l’exigibilité de l’ex-époux, est évalué à moins de deux heures par semaine. La recourante invoque cependant un besoin d’aide supplémentaire à celui de trois heures et quarante minutes retenu par l’enquêtrice. En particulier, elle souligne que toutes les démarches administratives sont effectuées par le centre LAVI ou son</w:t>
      </w:r>
    </w:p>
    <w:p>
      <w:r>
        <w:t>A/3332/2020 - 18/20 - avocate, elle-même ne gérant pas ses affaires administratives courantes, que son ex- époux effectue toutes les grosses courses, soit pendant environ deux heures par semaine, qu’il l’aide pour les repas à raison de septante minutes par semaine et pour le ménage à raison de quatre à cinq heures par semaine et, qu’enfin, elle est isolée et coupée du monde. La question de savoir si la recourante nécessite une aide hebdomadaire supérieure à trois heures et quarante minutes peut rester ouverte pour les raisons qui suivent : L’organisation du couple, comprenant la répartition des tâches ménagères avant la survenance de l’impotence, est déterminante pour l’évaluation de l’exigibilité des membres de la famille (cf. arrêt du Tribunal fédéral 9C 567/2019 du 23 décembre 2019 consid. 6.2). Or, le rapport d’enquête du 22 juin 2020 n’examine absolument pas cet aspect. A cet égard, la recourante n’a plus travaillé depuis l’année 2011 pour s’occuper de son époux, invalide (il bénéficie en effet d’une rente entière d’invalidité depuis novembre 2011). Ce dernier, avant l’atteinte à la santé de la recourante, ne se chargeait pratiquement pas de l’entretien du ménage et n’effectuait que de temps en temps les courses et la préparation des repas (procès- verbal d’audience du 6 mai 2019), ce qui n’est pas contesté par l’intimé. On ne saurait, dans ces conditions, exiger de l’ex-époux, totalement invalide et âgé de presque 66 ans au jour de la décision litigieuse, la prise en charge depuis la survenance de l’impotence de la recourante, en sus des tâches qu’il assume (courses et participation à la préparation des repas) du nettoyage complet de l’appartement, dont l’enquêtrice a déjà admis qu’il nécessitait l’intervention de l’IMAD à raison d’une heure et cinquante minutes par semaine, étant par ailleurs constaté que cette limite correspond non pas au temps nécessaire pour maintenir le logement propre mais à l’intervention hebdomadaire maximale accordée par l’IMAD (cf. rapport d’enquête du 22 juin 2020 n°4.2.1). La recourante, quant à elle, a invoqué la nécessité de recourir à quatre à cinq heures de ménage par semaine. Quoi qu’il en soit, compte tenu des quinze minutes d’aide administrative par semaine fournie par des tiers, reconnues également par le rapport d’enquête et dont l’exigibilité de la part de l’ex-époux n’est pas envisagée, la limite de deux heures par semaine d’accompagnement nécessaire, est déjà dépassée (soit une heure et cinquante minutes d’aide-ménagère auxquelles s’ajoutent quinze minutes d’aide administrative). Dans ces conditions, il n’est pas utile d’examiner si la recourante a besoin d’un accompagnement pour certaines activités à l’extérieur ou pour prévenir le risque d’isolement durable ou de perte de contacts sociaux. Par appréciation anticipée des preuves, il sera renoncé à l’audition des témoins cités par la recourante.</w:t>
      </w:r>
    </w:p>
    <w:p>
      <w:r>
        <w:t>A/3332/2020 - 19/20 -</w:t>
      </w:r>
    </w:p>
    <w:p>
      <w:r>
        <w:rPr>
          <w:b/>
        </w:rPr>
        <w:t>E. 12</w:t>
      </w:r>
    </w:p>
    <w:p>
      <w:r>
        <w:t>Dès lors qu’un besoin d’accompagnement pour faire face aux nécessité de la vie d’au moins deux heures par semaine doit être reconnu à la recourante, celle-ci a droit à une API de degré faible. Compte tenu de la survenance de l’impotence au 1er juillet 2016 et de la date de dépôt de la demande de prestations, le 9 février 2017, la recourante a droit à une API de degré faible depuis le 1er juillet 2017.</w:t>
      </w:r>
    </w:p>
    <w:p>
      <w:r>
        <w:rPr>
          <w:b/>
        </w:rPr>
        <w:t>E. 13</w:t>
      </w:r>
    </w:p>
    <w:p>
      <w:r>
        <w:t>Partant, le recours sera admis, la décision litigieuse annulée et il sera dit que la recourante a droit à une API de degré faible dès le 1er juillet 2017.</w:t>
      </w:r>
    </w:p>
    <w:p>
      <w:r>
        <w:rPr>
          <w:b/>
        </w:rPr>
        <w:t>E. 14</w:t>
      </w:r>
    </w:p>
    <w:p>
      <w:r>
        <w:t>Vu l’issue du litige, une indemnité de CHF 2’500.- sera accordée à la recourante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200.-.</w:t>
      </w:r>
    </w:p>
    <w:p>
      <w:r>
        <w:t>A/3332/2020 - 20/20 -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