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ATAS/230/2018 vom 14. März 2018</w:t>
      </w:r>
    </w:p>
    <w:p>
      <w:r>
        <w:t>GE Cour de justice, 2018-03-14, FR</w:t>
      </w:r>
    </w:p>
    <w:p>
      <w:r>
        <w:rPr>
          <w:b/>
        </w:rPr>
        <w:t xml:space="preserve">Quelle: </w:t>
      </w:r>
      <w:r>
        <w:t>https://mcp.opencaselaw.ch/entscheid/ge_gerichte_ATAS_230_2018</w:t>
      </w:r>
    </w:p>
    <w:p>
      <w:r>
        <w:t>FR: GE_GERICHTE ATAS/230/2018 du 14 mars 2018</w:t>
      </w:r>
    </w:p>
    <w:p>
      <w:r>
        <w:t>IT: GE_GERICHTE ATAS/230/2018 del 14 marzo 2018</w:t>
      </w:r>
    </w:p>
    <w:p>
      <w:pPr>
        <w:pStyle w:val="Heading2"/>
      </w:pPr>
      <w:r>
        <w:t>Erwägungen</w:t>
      </w:r>
    </w:p>
    <w:p>
      <w:r>
        <w:rPr>
          <w:b/>
        </w:rPr>
        <w:t>E. 1</w:t>
      </w:r>
    </w:p>
    <w:p>
      <w:r>
        <w:t>La chambre de céans a admis sa compétence et constaté que le recours était recevable à la forme dans son ordonnance d’expertise du 14 avril 2014.</w:t>
      </w:r>
    </w:p>
    <w:p>
      <w:r>
        <w:rPr>
          <w:b/>
        </w:rPr>
        <w:t>E. 2</w:t>
      </w:r>
    </w:p>
    <w:p>
      <w:r>
        <w:t>L'objet du litige porte sur le droit de la recourante à une rente entière d'invalidité dès le 1er août 2005 et à une mesure d'observation professionnelle pour déterminer s'il existe une activité adaptée à ses limitations fonctionnelles.</w:t>
      </w:r>
    </w:p>
    <w:p>
      <w:r>
        <w:rPr>
          <w:b/>
        </w:rPr>
        <w:t>E. 3</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La reconnaissance de l'existence de troubles somatoformes douloureux persistants suppose d'abord la présence d'un diagnostic émanant d'un expert</w:t>
      </w:r>
    </w:p>
    <w:p>
      <w:r>
        <w:t>A/1428/2013 - 23/34 -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c.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d. Les principes jurisprudentiels développés en matière de troubles somatoformes douloureux sont également applicables à la fibromyalgie (ATF 132 V 65 consid. 4.1). e.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f.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faut se fonder sur une grille d’analyse comportant divers indicateurs qui</w:t>
      </w:r>
    </w:p>
    <w:p>
      <w:r>
        <w:t>A/1428/2013 - 24/34 - rassemblent les éléments essentiels propres aux troubles de nature psychosomatique (ATF 141 V 281 consid. 4). Ces indicateurs concernent deux catégories, à savoir celle du degré de gravité fonctionnelle et celle de la cohérence.</w:t>
      </w:r>
    </w:p>
    <w:p>
      <w:r>
        <w:rPr>
          <w:b/>
        </w:rPr>
        <w:t>E. 5</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A/1428/2013 - 25/34 - d.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A/1428/2013 - 26/34 - décision est rendue doivent être prises en compte (ATF 129 V 222 et ATF 128 V 174).</w:t>
      </w:r>
    </w:p>
    <w:p>
      <w:r>
        <w:rPr>
          <w:b/>
        </w:rPr>
        <w:t>E. 8</w:t>
      </w:r>
    </w:p>
    <w:p>
      <w:r>
        <w:t>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Tel sera le cas lorsqu'on ne dispose d'aucun renseignement au sujet de la dernière activité professionnelle de l'assuré, lorsque celui-ci a cessé son activité depuis plusieurs années (ATF 129 V 222; arrêt du Tribunal fédéral des assurances I 636/02 du 15 avril 2003 consid. 4.1), lorsqu'il s'avère qu'il ne travaillerait plus dans l'entreprise de son conjoint même sans atteinte à la santé (arrêt du Tribunal fédéral des assurances I 641/05 du 21 décembre 2005 consid. 4.1)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201/06 du 14 juillet 2006 consid. 5.2.3; I 168/05 du 24 avril 2006 consid. 3.3 et B 80/01 du 17 octobre 2003 consid. 5.2.2). Si l'assuré a perdu son dernier emploi avant l'atteinte à la santé pour des motifs étrangers à l'invalidité, par exemple en cas d'un manque d'efforts fournis par l'assuré malgré un avertissement, on ne peut admettre que l'assuré aurait poursuivi son activité auprès du même employeur. Dans ce cas de figure, il n'y a pas lieu de fonder le revenu avant invalidité sur le salaire que l'intéressé aurait réalisé auprès du dernier employeur (arrêt du Tribunal fédéral 9C_247/2015 du 23 juin 2015 consid. 5.1). Il n'y a pas lieu de se fonder sur les valeurs statistiques de l'ESS pour déterminer le montant du revenu sans invalidité, lorsque l'assuré a travaillé pendant de très nombreuses années pour le même employeur et qu'il a obtenu dans cette activité un salaire nettement supérieur au salaire statistique pris en compte pour calculer le taux d' invalidité (dans le cas d'espèce, l'intéressé avait travaillé de 1986 à 2008 en qualité de magasinier et les salaires ressortant de l'extrait de compte individuel établi par la Caisse cantonale genevoise de compensation dépassaient ceux résultant de l'ESS pour une activité identique). Il y a lieu, dans ce cas, de prendre en compte</w:t>
      </w:r>
    </w:p>
    <w:p>
      <w:r>
        <w:t>A/1428/2013 - 27/34 - le dernier salaire effectivement touché et non le salaire statistique (arrêt du Tribunal fédéral 9C_247/2015 du 23 juin 2015 consid. 5.2).</w:t>
      </w:r>
    </w:p>
    <w:p>
      <w:r>
        <w:rPr>
          <w:b/>
        </w:rPr>
        <w:t>E. 9</w:t>
      </w:r>
    </w:p>
    <w:p>
      <w:r>
        <w:t>Quant au revenu d'invalide, il doit être évalué avant tout en fonction de la situation professionnelle concrète de l'intéressé (ATF 135 V 297 consid. 5.2). Lorsque l'assuré n'a pas repris d'activité ou 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 autorisation de séjour et taux d'occupation). Une déduction</w:t>
      </w:r>
    </w:p>
    <w:p>
      <w:r>
        <w:t>A/1428/2013 - 28/34 - globale maximale de 25% sur le salaire statistique permet de tenir compte des différents éléments qui peuvent influencer le revenu d'une activité lucrative (ATF 126 V 75 consid. 5b/aa-cc p. 79). Lorsque les limitations fonctionnelles ont été prises en compte par les experts judiciaires lors de l'évaluation de la capacité résiduelle de travail de l'assuré dans une activité professionnelle adaptée à sa santé, et que ceux-ci ont également pris en considération une limitation du rendement en mettant en relation la réduction de la capacité de travail et la nécessité de permettre des périodes de repos, l'OAI ne procède pas à une violation du droit ou d'un excès de son pouvoir d'appréciation en ne retenant pas à ce titre un abattement du revenu d'invalide résultant des données ESS (arrêt du Tribunal fédéral 9C_40/2011 du 1er avril 2011 consid. 2.3.1). Le simple fait qu'il a été admis dans d'autres causes, parfois à titre exceptionnel, un taux d'abattement de 15% ou plus ne saurait établir que l'autorité précédente a commis un excès de son pouvoir d'appréciation ou qu'elle aurait abusé de celui-ci dans le cas d'espèce (arrêt du Tribunal fédéral 9C_391/2017 du 27 novembre 2017 consid. 5). Le fait qu'un homme ne peut travailler qu'à temps partiel est susceptible d'avoir une influence négative sur son salaire (arrêt du Tribunal fédéral 9C_728/2009 du 21 septembre 2010 consid. 4.3.2). En revanche, dans à peu près tous les cas de figure distingués en fonction du degré d'occupation et du niveau de qualification, les femmes exerçant une activité à temps partiel ne gagnent souvent pas, d'après les statistiques, un revenu moins élevé que les personnes travaillant à plein temps (cf. arrêts du Tribunal fédéral 8C_379/2011 du 26 août 2011 consid. 4.2, in SVR 2012 IV n° 17 p. 78 et résumé dans RSAS 2012 p. 71; 9C_160/2014 du 30 juin 2014).</w:t>
      </w:r>
    </w:p>
    <w:p>
      <w:r>
        <w:rPr>
          <w:b/>
        </w:rPr>
        <w:t>E. 10</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w:t>
      </w:r>
    </w:p>
    <w:p>
      <w:r>
        <w:rPr>
          <w:b/>
        </w:rPr>
        <w:t>E. 12</w:t>
      </w:r>
    </w:p>
    <w:p>
      <w:r>
        <w:t>La recourante conteste le calcul du taux d'invalidité effectué par l'OAI et, en premier lieu, le salaire sans invalidité pris en compte. Lors de son accident, en août 2004, elle travaillait depuis peu comme dame de cafétéria en occupation temporaire dans le cadre du chômage. Il s'agit typiquement d'un cas de figure où il se justifie de se référer aux données statistiques, puisque le dernier salaire touché dans ce cadre ne correspondait pas à ce que la recourante aurait été capable de réaliser, selon toute vraisemblance, si elle était valide. Il n'y a pas lieu de se référer au salaire qu'elle aurait pu toucher à la clinique C______, car elle n'y travaillait plus depuis la fin de l'année 2000, soit plus de trois ans. Elle a, en outre, entamé une nouvelle formation à la D______, ce qui laisse penser qu'elle n’a pas recherché d'emploi en tant qu'assistante gouvernante générale similaire à celui qu'elle avait à la clinique C______. De plus, il ressort de son compte individuel que les années précédant son accident de 2004, elle n'a pas touché un salaire plus élevé que le salaire statistique retenu par l'OAI. C'est donc à juste titre que ce dernier s'est référé aux données statistiques des ESS 2006, TA7, dans le domaine de l'hôtellerie, niveau 2, qui correspondaient à la formation et à l'expérience professionnelle de la recourante pour déterminer son revenu sans invalidité.</w:t>
      </w:r>
    </w:p>
    <w:p>
      <w:r>
        <w:rPr>
          <w:b/>
        </w:rPr>
        <w:t>E. 13</w:t>
      </w:r>
    </w:p>
    <w:p>
      <w:r>
        <w:t>La recourante fait valoir qu'il n'existait pas d'activité adaptée à ses limitations fonctionnelles – en particulier pas celles d'employée de guichet ou de réceptionniste car ces activités n'étaient pas complètement sédentaires – et elle sollicite, en conséquence, une observation professionnelle pour déterminer s'il en existe une. Selon l'OAI, la ligne 23 du TA7 regroupe de nombreuses activités dont un certain nombre ne requiert pas de longues périodes de frappe ininterrompue sur un ordinateur. Des activités telles qu'employée de guichet ou réceptionniste pouvaient notamment être citées.</w:t>
      </w:r>
    </w:p>
    <w:p>
      <w:r>
        <w:t>Selon les experts, la recourante est en mesure de travailler à 80% dans une activité respectant ses limitations fonctionnelles avec une baisse de rendement de 20% en raison de ses limitations fonctionnelles. Sur le plan rhumatologique, son autonomie à la marche est de 500 m, c'est donc à tort qu'elle prétend ne pouvoir exercer qu'une activité complètement sédentaire. Elle n'est pas dans l’incapacité totale d'effectuer des tâches administratives ou de secrétariat en raison de la symptomatologie de ses mains. En effet, l'expert rhumatologue a précisé dans son complément d'expertise que l'atteinte dégénérative digitale dont elle souffre entraînait des limitations fonctionnelles pour les gestes de préhension avec les doigts, notamment pour les efforts à répétition ou pour ceux nécessitant l’utilisation d’une force importante ; la recourante peut donc encore utiliser partiellement ses mains. La nature et l'importance de sa pathologie ne constituent pas des obstacles irrémédiables à la reprise d'un travail sur un marché qui offre un éventail suffisamment large</w:t>
      </w:r>
    </w:p>
    <w:p>
      <w:r>
        <w:t>A/1428/2013 - 32/34 - d'activités légères dont un nombre significatif est adapté à ses limitations fonctionnelles. On doit partir du postulat qu'il existe des emplois compatibles avec ses limitations sur un marché équilibré du travail qui offre un éventail d'activités les plus diverses, notamment sur le plan des exigences professionnelles, et proposant même des emplois de niche. Il n'y a pas lieu de se demander si, concrètement, la recourante trouvera un travail. L'on ne peut assimiler son cas à celui pour lequel le Tribunal fédéral a considéré que les troubles importants de la personnalité que l'assurée connaissait constituaient des obstacles irrémédiables à la reprise d'une activité salariée (9C_984/2008 du 4 mai 2009 consid. 5.2 et 6.2). Il n'apparaît en particulier pas que la recourante souffrait de troubles importants de la personnalité pouvant constituer des obstacles irrémédiables à la reprise d'une activité salariée. En conclusion, il faut retenir que la recourante pouvait mettre en œuvre sa capacité de travail résiduelle sur un marché équilibré dès 2009 et qu'une nouvelle mesure d'observation ne se justifie pas.</w:t>
      </w:r>
    </w:p>
    <w:p>
      <w:r>
        <w:rPr>
          <w:b/>
        </w:rPr>
        <w:t>E. 14</w:t>
      </w:r>
    </w:p>
    <w:p>
      <w:r>
        <w:t>La recourante soutient encore qu'il n'y avait pas lieu de distinguer les périodes avant et après reclassement professionnel, du fait de l'échec de sa réadaptation et de son incapacité à effectuer des tâches administratives ou de secrétariat en raison de la symptomatologie de ses mains. Comme cela a été relevé précédemment, il convient d'admettre que ses limitations fonctionnelles ne l'empêchaient pas de mettre en œuvre sa capacité résiduelle de travail dans le secteur précité. Elle a bénéficié d'un reclassement dans le domaine du secrétariat/commerce de septembre 2007 à mai 2009, qui lui a permis d'obtenir plusieurs certificats (en correspondance commerciale française, langue française, Powerpoint, Excel et bureautique). Dans cette mesure, elle disposait de connaissances lui permettant d'exercer une activité dans le domaine « autres activités commercial et administratif » correspondant à ligne 23 du TA7. C'est donc à juste titre que l'OAI a cité les activités d'employée de guichet ou de réceptionniste dont on peut légitimement penser qu'elles sont adaptées aux limitations fonctionnelles et qu'elles entrent dans les compétences de la recourante. L'on ne saurait retenir que la formation qu'elle a suivie s'est soldée par un échec total, parce qu'elle n'a pas réussi tous les examens – ce dont l'OAI a tenu compte en retenant un niveau de qualification 4 et non un niveau 3 – puisqu'elle a obtenu, par son biais, plusieurs certificats. De plus, comme l'a relevé à juste titre l'OAI, la recourante dispose d'un CFC d'assistante d'hôtel et d'une expérience professionnelle dans ce domaine qui lui ont permis d'acquérir des compétences utiles dans une activité commerciale et administrative. C'est donc à juste titre que l'OAI a fixé le revenu d'invalide après réadaptation sur le tableau TA7 ligne 23, niveau de qualification 4 après le reclassement professionnel dont a bénéficié la recourante.</w:t>
      </w:r>
    </w:p>
    <w:p>
      <w:r>
        <w:rPr>
          <w:b/>
        </w:rPr>
        <w:t>E. 15</w:t>
      </w:r>
    </w:p>
    <w:p>
      <w:r>
        <w:t>Enfin, c'est à tort que la recourante fait valoir que le revenu avec invalidité aurait encore dû être réduit de 25%, vu l'importance de ses limitations fonctionnelles, car, selon la jurisprudence, il n'y a pas lieu d'en tenir compte à ce titre, lorsqu'il en a déjà été tenu compte pour fixer une capacité de travail et un rendement réduits, ce</w:t>
      </w:r>
    </w:p>
    <w:p>
      <w:r>
        <w:t>A/1428/2013 - 33/34 - qui est le cas en l'espèce. En effet, les experts ont conclu à une capacité de travail de 80% dans une activité adaptée depuis 2009, avec un rendement réduit de 20%, en raison des limitations fonctionnelles de la recourante du point de vue somatique et psychique. Comme l'a relevé à juste titre l'OAI, le nombre de diagnostics retenus ne constitue pas un critère propre à justifier un abattement. Les autres critères justifiant une réduction supplémentaire ne sont en outre pas remplis, la recourante étant relativement jeune, en Suisse depuis de nombreuses années et titulaire d'un permis C. La capacité de travail résiduelle à 80% ne justifie pas une réduction supplémentaire du revenu avec invalidité, dès lors que, selon la jurisprudence précitée, les femmes exerçant une activité à temps partiel ne gagnent souvent pas, d'après les statistiques, un revenu moins élevé que les personnes travaillant à plein temps.</w:t>
      </w:r>
    </w:p>
    <w:p>
      <w:r>
        <w:rPr>
          <w:b/>
        </w:rPr>
        <w:t>E. 16</w:t>
      </w:r>
    </w:p>
    <w:p>
      <w:r>
        <w:t>Au vu des considérations qui précèdent, la décision querellée doit être confirmée et le recours rejeté.</w:t>
      </w:r>
    </w:p>
    <w:p>
      <w:r>
        <w:rPr>
          <w:b/>
        </w:rPr>
        <w:t>E. 17</w:t>
      </w:r>
    </w:p>
    <w:p>
      <w:r>
        <w:t>Un émolument de CHF 200.- sera mis à la charge de la recourante (art. 69 al. 1bis LAI).</w:t>
      </w:r>
    </w:p>
    <w:p>
      <w:r>
        <w:t>A/1428/2013 - 34/34 -</w:t>
      </w:r>
    </w:p>
    <w:p>
      <w:r>
        <w:t>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