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ATAS/230/2017 vom 21. März 2017</w:t>
      </w:r>
    </w:p>
    <w:p>
      <w:r>
        <w:t>GE Cour de justice, 2017-03-21, FR</w:t>
      </w:r>
    </w:p>
    <w:p>
      <w:r>
        <w:rPr>
          <w:b/>
        </w:rPr>
        <w:t xml:space="preserve">Quelle: </w:t>
      </w:r>
      <w:r>
        <w:t>https://mcp.opencaselaw.ch/entscheid/ge_gerichte_ATAS_230_2017</w:t>
      </w:r>
    </w:p>
    <w:p>
      <w:r>
        <w:t>FR: GE_GERICHTE ATAS/230/2017 du 21 mars 2017</w:t>
      </w:r>
    </w:p>
    <w:p>
      <w:r>
        <w:t>IT: GE_GERICHTE ATAS/230/2017 del 21 marzo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droit de l’intéressé aux indemnités de l’assurance-chômage du 1er avril au 14 juillet 2015 et sur la demande en restitution de la somme de CHF 7'147.40, représentant les indemnités perçues durant cette période. Il s’agit plus particulièrement de déterminer le domicile de l’intéressé depuis le 1er avril 2015.</w:t>
      </w:r>
    </w:p>
    <w:p>
      <w:r>
        <w:rPr>
          <w:b/>
        </w:rPr>
        <w:t>E. 4</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b) En ce qui concerne la notion de domicile, il y a lieu de relever que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133 V 169 ; 125 V 469 ; 115 V 448 consid. 1b ; arrêt du Tribunal fédéral des assurances C 121/02 du 9 avril 2003 consid. 2.2).</w:t>
      </w:r>
    </w:p>
    <w:p>
      <w:r>
        <w:t>A/2689/2016 - 8/13 - L’entrée en vigueur de la LPGA n’a pas modifié cette pratique, dès lors que la notion de domicile inscrite à l’art. 13 al. 1er LPGA ne trouve pas application en matière d’assurance-chômage (arrêt du Tribunal fédéral 8C_270/2007 du</w:t>
      </w:r>
    </w:p>
    <w:p>
      <w:r>
        <w:rPr>
          <w:b/>
        </w:rPr>
        <w:t>E. 7</w:t>
      </w:r>
    </w:p>
    <w:p>
      <w:r>
        <w:t>Aux termes de l’art. 25 LPGA, auquel renvoie l’art. 95 al. 1 LACI, « 1 Les prestations indûment touchées doivent être restituées. La restitution ne peut être exigée lorsque l'intéressé était de bonne foi et qu'elle le mettrait dans une situation difficile. 2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3 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 ». Selon la jurisprudence rendue sous l’empire de l’art. 47 al. 1 LAVS, l’obligation de restituer suppose en outre que soient remplies les conditions d’une reconsidération ou d’une révision procédurale de la décision – formelle ou non – par laquelle les prestations en cause ont été allouées (ATF 130 V 318 consid. 5.2). En vertu de l’art. 53 LPGA, les décisions et les décisions sur opposition formellement passées en force sont soumises à révision si l’assuré ou l’assureur découvre subséquemment des faits nouveaux importants ou trouve des nouveaux moyens de preuves qui ne pouvaient être produits auparavant. L’assureur peut revenir sur les décisions ou sur les décisions sur opposition formellement passées en force lorsqu’elles sont manifestement erronées et que leurs rectifications revêtent une importance notable. En règle générale, l’octroi illégal de prestations est réputé sans nulle doute erroné (ATF 126 V 399 consid. 2b/bb).</w:t>
      </w:r>
    </w:p>
    <w:p>
      <w:r>
        <w:rPr>
          <w:b/>
        </w:rPr>
        <w:t>E. 8</w:t>
      </w:r>
    </w:p>
    <w:p>
      <w:r>
        <w:t>En l’espèce, la caisse a reçu le rapport d’enquête relative au domicile de l’intéressé le 14 août 2015. En exigeant la restitution du montant de CHF 7'147.40, par sa décision du 24 juin 2016, elle a agi dans le délai d’un an au sens de l’art. 25 al. 2 LPGA. Quant aux prestations dont le remboursement est réclamé, elle les lui a versées dans les cinq années précédentes, de sorte que les conditions formelles posées à la restitution des</w:t>
      </w:r>
    </w:p>
    <w:p>
      <w:r>
        <w:t>A/2689/2016 - 12/13 - prestations par l’art. 25 LPGA sont réalisées. Pour le surplus, le montant de la restitution n’est pas contesté et ne paraît pas contestable.</w:t>
      </w:r>
    </w:p>
    <w:p>
      <w:r>
        <w:rPr>
          <w:b/>
        </w:rPr>
        <w:t>E. 9</w:t>
      </w:r>
    </w:p>
    <w:p>
      <w:r>
        <w:t>Il convient à ce stade de rappeler que la restitution ne peut être exigée lorsque l’intéressé était de bonne foi et qu’il le mettrait dans une situation difficile (art. 25 al. 1, 2ème phrase LPGA). Selon l’art. 4 al. 4 OPGA, la demande de remise doit être présentée par écrit. Elle doit être motivée, accompagnée des pièces nécessaires et déposée au plus tard trente jours à compter de l’entrée en force du présent jugement.</w:t>
      </w:r>
    </w:p>
    <w:p>
      <w:r>
        <w:rPr>
          <w:b/>
        </w:rPr>
        <w:t>E. 10</w:t>
      </w:r>
    </w:p>
    <w:p>
      <w:r>
        <w:t>Au vu de ce qui précède, le recours est rejeté.</w:t>
      </w:r>
    </w:p>
    <w:p>
      <w:r>
        <w:t>A/2689/2016 - 13/13 -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