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ATAS/230/2007 vom 18. Oktober 2005</w:t>
      </w:r>
    </w:p>
    <w:p>
      <w:r>
        <w:t>GE Cour de justice, 2005-10-18, FR</w:t>
      </w:r>
    </w:p>
    <w:p>
      <w:r>
        <w:rPr>
          <w:b/>
        </w:rPr>
        <w:t xml:space="preserve">Quelle: </w:t>
      </w:r>
      <w:r>
        <w:t>https://mcp.opencaselaw.ch/entscheid/ge_gerichte_ATAS_230_2007</w:t>
      </w:r>
    </w:p>
    <w:p>
      <w:r>
        <w:t>FR: GE_GERICHTE ATAS/230/2007 du 18 octobre 2005</w:t>
      </w:r>
    </w:p>
    <w:p>
      <w:r>
        <w:t>IT: GE_GERICHTE ATAS/230/2007 del 18 ottobre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w:t>
      </w:r>
    </w:p>
    <w:p>
      <w:r>
        <w:rPr>
          <w:b/>
        </w:rPr>
        <w:t>E. 3</w:t>
      </w:r>
    </w:p>
    <w:p>
      <w:r>
        <w:t>Interjeté dans les forme et délai prescrits par la loi, le recours est recevable (art. 56 à 60 LPGA).</w:t>
      </w:r>
    </w:p>
    <w:p>
      <w:r>
        <w:rPr>
          <w:b/>
        </w:rPr>
        <w:t>E. 4</w:t>
      </w:r>
    </w:p>
    <w:p>
      <w:r>
        <w:t>Le litige porte sur le point de savoir si la recourante remplit ou non les conditions du droit à l'indemnité de chômage (art. 8 s. LACI).</w:t>
      </w:r>
    </w:p>
    <w:p>
      <w:r>
        <w:rPr>
          <w:b/>
        </w:rPr>
        <w:t>E. 5</w:t>
      </w:r>
    </w:p>
    <w:p>
      <w:r>
        <w:t>Selon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w:t>
      </w:r>
    </w:p>
    <w:p>
      <w:r>
        <w:t>A/1474/2006 - 8/10 -</w:t>
      </w:r>
    </w:p>
    <w:p>
      <w:r>
        <w:rPr>
          <w:b/>
        </w:rPr>
        <w:t>E. 6</w:t>
      </w:r>
    </w:p>
    <w:p>
      <w:r>
        <w:t>Dans un arrêt M. du 4 septembre 1997 publié aux ATF 123 V 234, le Tribunal fédéral des assurances a explicité les motifs fondant l'application analogique de cette règle à l'octroi de l'indemnité de chômage. D'après cette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La situation est en revanche différente quand le salarié, se trouvant dans une position assimilable à celle d'un employeur, quitte définitivement l'entreprise en raison de la fermeture de celle-ci; en pareil cas, on ne saurait parler d'un comportement visant à éluder la loi. Il en va de même quand l'entreprise continue d'exister mais que le salarié, par suite de la résiliation de son contrat, rompt définitivement tout lien avec la société. Dans un cas comme dans l'autre, l'intéressé peut en principe prétendre des indemnités de chômage (ATF 123 V 238 consid. 7b/bb; SVR 2001 ALV n° 14 pp. 41-42 consid. 2a; DTA 2003 n° 22 p. 241 consid. 2).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l’une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239 consid. 7b/bb; DTA 2003 n° 22 p. 242 consid. 4). C’est la notion matérielle de l’organe dirigeant qui est déterminante car c’est la seule façon de garantir que l’art. 31 al. 3 let. c LACI, qui vise à combattre les abus, remplisse son objectif. En particulier, lorsqu’il s’agit de déterminer quelle est la possibilité effective d’un dirigeant d’influencer le processus de décision d’une entreprise, il convient de prendre en compte les rapports internes existant dans cette entreprise. On établira l’étendue du pouvoir de décision en fonction des circonstances concrètes (DTA 1997/1996 p. 227).</w:t>
      </w:r>
    </w:p>
    <w:p>
      <w:r>
        <w:t>A/1474/2006 - 9/10 - Selon le Secrétariat d’Etat à l’économie (SECO), en règle générale, il convient de considérer les personnes qui ont un droit de signature individuel ou dont la participation dans l’entreprise s’élève à 20% ou plus comme personne exerçant une influence sur les décisions de l’employeur (circulaire RHT 01/92 p. 4 n° 16). La seule exception à ce principe reconnue par le TFA concerne les membres de conseils d’administration car ils disposent ex lege (art. 716, 716 b CO) d’un pouvoir déterminant au sens de l’art. 31 al. 3 let. c LACI. Pour les membres du conseil d’administration, le droit aux prestations peut être exclu sans qu’il soit nécessaire de déterminer plus concrètement les responsabilités qu’ils exercent au sein de la société (ATF 122 V 273 ; ATFA C 113/03 du 24 mars 2004). Dans ces cas, le TFA a estimé que la perte de travail n’était pas contrôlable car les intéressés avaient un pouvoir réel dans la société et pouvaient chercher à obtenir des indemnités afin de maintenir en vie leur société pendant une période économiquement difficile par des licenciements simulés alors qu’ils n’avaient pas droit à l’indemnité en cas de réduction de l’horaire de travail. Le TFA a récemment eu l’occasion de préciser que ce n’est pas l’abus avéré comme tel que la loi et la jurisprudence ont pour but de sanctionner mais bien le risque d’abus que représente déjà le versement d’indemnités à un travailleur jouissant d’une situation comparable à celle d’un employeur (DTA 2003 p. 240).</w:t>
      </w:r>
    </w:p>
    <w:p>
      <w:r>
        <w:rPr>
          <w:b/>
        </w:rPr>
        <w:t>E. 7</w:t>
      </w:r>
    </w:p>
    <w:p>
      <w:r>
        <w:t>En l’espèce, force est de constater que, durant la période litigieuse, la recourante est restée formellement organe de la société qui l’employait et n'a de loin pas coupé tout lien avec l’entreprise puisqu'elle s'est chargée des tâches administratives est s'est efforcée de trouver de nouveaux partenaires pour réactiver la société. Ainsi que le fait remarquer l'intimée, il ne s'agit pas de le lui reprocher mais de constater qu'il y avait donc bien un risque d'abus - lequel suffit selon la jurisprudence, rigoureuse - puisque la société aurait donc pu reprendre une activité. Dans la mesure où la recourante était administratrice et donc membre du conseil d'administration, elle disposait ex lege d’un pouvoir déterminant au sens de l’art. 31 al. 3 let. c LACI, de sorte que le droit aux prestations peut être exclu sans qu’il soit nécessaire de déterminer plus concrètement les responsabilités qu’elle exerçait (ATF 122 V 273 ; ATFA C 113/03 du 24 mars 2004). Certes, a posteriori, il s'est avéré que la société n'a pas repris son activité durant le laps de temps considéré mais tel aurait pu être le cas. Le risque d'abus existait donc.</w:t>
      </w:r>
    </w:p>
    <w:p>
      <w:r>
        <w:rPr>
          <w:b/>
        </w:rPr>
        <w:t>E. 8</w:t>
      </w:r>
    </w:p>
    <w:p>
      <w:r>
        <w:t>Eu égard aux considérations qui précèdent, le recours est rejeté.</w:t>
      </w:r>
    </w:p>
    <w:p>
      <w:r>
        <w:t>A/1474/2006 - 10/10 -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