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ATAS/22/2025 vom 20. Januar 2025</w:t>
      </w:r>
    </w:p>
    <w:p>
      <w:r>
        <w:t>GE Cour de justice, 2025-01-20, FR</w:t>
      </w:r>
    </w:p>
    <w:p>
      <w:r>
        <w:rPr>
          <w:b/>
        </w:rPr>
        <w:t xml:space="preserve">Quelle: </w:t>
      </w:r>
      <w:r>
        <w:t>https://mcp.opencaselaw.ch/entscheid/ge_gerichte_ATAS_22_2025</w:t>
      </w:r>
    </w:p>
    <w:p>
      <w:r>
        <w:t>FR: GE_GERICHTE ATAS/22/2025 du 20 janvier 2025</w:t>
      </w:r>
    </w:p>
    <w:p>
      <w:r>
        <w:t>IT: GE_GERICHTE ATAS/22/2025 del 20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[applicable par le renvoi de l’art. 1 al. 1 LAI] ; art. 62 al. 1 de la loi sur la procédure administrative du 12 septembre 1985 [LPA - E 5 10]). Interjeté dans la forme et le délai prévus par la loi, le recours est recevable.</w:t>
      </w:r>
    </w:p>
    <w:p>
      <w:r>
        <w:rPr>
          <w:b/>
        </w:rPr>
        <w:t>E. 2</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2.1</w:t>
      </w:r>
    </w:p>
    <w:p>
      <w:r>
        <w:t>En l’absence de disposition transitoire spéciale, ce sont les principes généraux de droit intertemporel qui prévalent, à savoir l’application du droit en vigueur lorsque les faits déterminants se sont produits (cf. ATF 144 V 210 consid. 4.3.1 et la référence).</w:t>
      </w:r>
    </w:p>
    <w:p>
      <w:r>
        <w:rPr>
          <w:b/>
        </w:rPr>
        <w:t>E. 2.2</w:t>
      </w:r>
    </w:p>
    <w:p>
      <w:r>
        <w:t>En l’occurrence, la décision querellée, datée du 3 mai 2024, a été rendue postérieurement au 1er janvier 2022. Il s’ensuit que les dispositions applicables seront citées dans leur nouvelle teneur.</w:t>
      </w:r>
    </w:p>
    <w:p>
      <w:r>
        <w:rPr>
          <w:b/>
        </w:rPr>
        <w:t>E. 3</w:t>
      </w:r>
    </w:p>
    <w:p>
      <w:r>
        <w:t>Le litige porte, conformément aux conclusions du recourant, sur le droit de celui- ci à la prise en charge par l’intimé d’une mesure professionnelle.</w:t>
      </w:r>
    </w:p>
    <w:p>
      <w:r>
        <w:rPr>
          <w:b/>
        </w:rPr>
        <w:t>E. 3.1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l’âge de l’assuré, de son niveau de développement, de ses aptitudes et de la durée probable de la vie active (art. 8 al. 1bis LAI en vigueur dès le 1er janvier 2008). L’art. 8 al. 3 let. b LAI dispose que les mesures de réadaptation comprennent les mesures d’ordre professionnel, soit en particulier l’orientation professionnelle (art. 15 LAI) et la formation professionnelle initiale (art. 16 LAI).</w:t>
      </w:r>
    </w:p>
    <w:p>
      <w:r>
        <w:t>A/1831/2024 - 6/11 - En cas d’interruption d’une mesure de réadaptation, l’octroi de la même mesure ou d’une autre mesure de réadaptation est examiné à nouveau conformément aux al. 1 et 1bis (art. 8 al. 1ter LAI). Selon le message relatif à l’introduction de cette disposition, en vigueur depuis le 1er janvier 2022, cette règle vise avant tout les jeunes et les jeunes adultes. Il est dans la nature des choses que, dans cette phase de la vie où le passage de l’enfance à l’âge adulte coïncide normalement avec le passage de l’école à la vie active, les interruptions ou les réorientations dans la formation soient relativement fréquentes. Les problèmes de santé peuvent renforcer encore cet effet (FF 2017 p. 2473). C’est ici qu’intervient la réforme de l’AI : il faut que les mesures de réadaptation puissent être octroyées à plusieurs reprises et que l’objectif de réadaptation puisse être régulièrement réexaminé et adapté. L’adaptation proposée vise à optimiser encore les efforts de réadaptation déployés spécialement pour les jeunes assurés vulnérables de 13 à 25 ans et éviter que ceux-ci ne deviennent tributaires d’une rente (FF 2017 p. 2399). Plus l’assuré est jeune, plus grands seront les efforts de réadaptation que l’office AI devra déployer (FF 2017 p. 2473).</w:t>
      </w:r>
    </w:p>
    <w:p>
      <w:r>
        <w:rPr>
          <w:b/>
        </w:rPr>
        <w:t>E. 3.2</w:t>
      </w:r>
    </w:p>
    <w:p>
      <w:r>
        <w:t>Aux termes de l’art. 15 LAI, dans sa nouvelle teneur, l’assuré auquel son invalidité rend difficile le choix d’une profession a droit à l’orientation professionnelle et à une mesure préparatoire à l’entrée en formation. Avant la réforme de la LAI, il n’existait guère de mesures préparatoires pour les jeunes atteints dans leur santé qui, au terme de leur scolarité obligatoire, n’avaient pas encore fait de choix professionnel (FF 2017 p. 2401). Ces mesures ont pour objectif de permettre au jeune terminant le degré secondaire I d’acquérir une maturité suffisante pour faire un choix professionnel, ou un comportement approprié au travail. Par ces mesures, le jeune peut combler ses lacunes dans les connaissances transmises par l’instruction obligatoire, se familiariser avec les métiers de différents domaines s’il n’a pas encore de projet professionnel, bénéficier d’un suivi adéquat et ainsi se préparer à entamer une formation professionnelle initiale ou à entrer dans le marché du travail (FF 2017 p. 2499). L’art. 4a RAI précise qu’une orientation professionnelle au sens de l’art. 15 LAI peut se composer des éléments suivants : des entretiens de conseil, des analyses et des tests diagnostiques réalisés par des professionnels (al. 1 let. a) ; des mesures préparatoires à l’entrée en formation au sens de l’art. 15 al. 1 LAI (al. 1 let. b) ; des mesures d’examen approfondi de professions possibles au sens de l’art. 15 al. 2 LAI (al. 1 let. c). Sont considérées comme mesures au sens de l’al. 1 let. b, les mesures proches du marché du travail se déroulant après l’école obligatoire, dans des entreprises du marché primaire du travail ou en institution et visant à déterminer les aptitudes et les envies de l’assuré en matière de formations et à initier celui-ci aux exigences du marché primaire du travail. Ces mesures sont limitées à douze mois (al. 2). Sont considérées comme mesures au sens de l’al. 1 let. c, les mesures se déroulant dans des entreprises du marché primaire du travail ou en institution et visant à déterminer les aptitudes et les envies de l’assuré</w:t>
      </w:r>
    </w:p>
    <w:p>
      <w:r>
        <w:t>A/1831/2024 - 7/11 - concernant les professions et activités possibles. Ces mesures sont limitées à trois mois au total. En l’absence des connaissances nécessaires au choix de la profession ou de l’activité, les mesures peuvent être prolongées de trois mois au plus (al. 3). Les objectifs et la durée des mesures visées aux al. 2 et 3 sont fixés individuellement en fonction des aptitudes de l’assuré. La mesure est interrompue en particulier : lorsque le but est atteint ou ne peut pas être atteint (al. 4 let. a) ; lorsqu’une mesure de réadaptation plus appropriée s’impose (al. 4 let. b) ; lorsque la poursuite de la mesure ne peut, pour des raisons d’ordre médical, être raisonnablement exigée (al. 4 let. c).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Selon la Circulaire sur les mesures de réadaptation professionnelle de l’AI (CMRPr) de l'office fédéral des assurances sociales, état au 1er janvier 2023, les mesures préparatoires durant l’orientation professionnelle n’ont pas pour objet de combler des lacunes scolaires mais visent à vérifier dans la pratique les formations possibles, à tester l’aptitude de la personne assurée, et à l’accoutumer aux exigences du marché du travail afin de faciliter son entrée en formation. À cette fin, une convention d’objectifs est passée entre la personne assurée, l’office AI et le fournisseur de prestations, destinée à fixer des objectifs à atteindre par la personne assurée tant d’un point de vue qualitatif (tester les types de formations possibles dans un environnement de travail réel, etc.) que quantitatif (capacité de présence et de rendement permettant à la personne assurée de participer à des mesures d’ordre professionnel de l’AI, ou à des offres adéquates de formation professionnelle ou de l’assurance-chômage ; ch. 1009-1014 CMRPr).</w:t>
      </w:r>
    </w:p>
    <w:p>
      <w:r>
        <w:rPr>
          <w:b/>
        </w:rPr>
        <w:t>E. 3.3</w:t>
      </w:r>
    </w:p>
    <w:p>
      <w:r>
        <w:t>Selon l'art. 16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(al. 1). Sont assimilés à la formation professionnelle initiale : la formation dans une nouvelle profession pour les assurés qui, après la survenance de l’invalidité, ont entrepris de leur propre chef une activité professionnelle inadéquate qui ne saurait être raisonnablement poursuivie (al. 3 let a). L’art. 16 al. 1 LAI pose les conditions de prise en charge par l’AI des frais occasionnés par la FPI du fait de l’invalidité. Il faut que l’assuré ait arrêté son choix professionnel pour prétendre au remboursement de ses frais dans le cadre d’une FPI. Ce complément établit une limite claire entre cette</w:t>
      </w:r>
    </w:p>
    <w:p>
      <w:r>
        <w:t>A/1831/2024 - 8/11 - prestation, d’une part, et les mesures préparatoires ou d’orientation professionnelle, d’autre part. Ces dernières interviennent à la fin du degré secondaire I et ont pour objectif d’orienter l’assuré vers un choix professionnel, de le préparer à une FPI ou de le préparer à entrer sur le marché du travail. Selon l'art. 5 al. 1 RAI, est réputée formation professionnelle initiale après l’achèvement de la scolarité obligatoire toute formation professionnelle initiale au sens de la loi fédérale du 13 décembre 2002 sur la formation professionnelle (LFPr ; let. a) ; la fréquentation d’une école supérieure, professionnelle ou universitaire (let. b) ; la préparation professionnelle à un travail auxiliaire ou à une activité en atelier protégé (let. c).</w:t>
      </w:r>
    </w:p>
    <w:p>
      <w:r>
        <w:rPr>
          <w:b/>
        </w:rPr>
        <w:t>E. 3.4</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w:t>
      </w:r>
    </w:p>
    <w:p>
      <w:r>
        <w:rPr>
          <w:b/>
        </w:rPr>
        <w:t>E. 3.5</w:t>
      </w:r>
    </w:p>
    <w:p>
      <w:r>
        <w:t>C’est le lieu de rappeler que la réforme de l’assurance-invalidité avait précisément pour but de garantir un meilleur soutien aux transitions entre école et formation ainsi qu’entre formation et activité lucrative pour les jeunes assurés de 13 à 25 ans. Cela permet ainsi de lutter contre le décrochage scolaire et de réduire le nombre de jeunes qui se retrouvent à l’assurance-invalidité. Ainsi que l’a relevé le Conseil fédéral dans son message, dans cette phase de la vie où le passage de l’enfance à l’âge adulte coïncide normalement avec le passage de l’école à la vie active, il est dans la nature des choses que les interruptions ou les réorientations dans la formation soient relativement fréquentes. Le message souligne ainsi la nécessité de faire plus d’efforts pour éviter que des jeunes adultes atteints dans leur santé n’abandonnent leur formation et ne sortent du monde du travail. Pour ce faire, le message propose notamment d’étendre la possibilité de bénéficier de mesures de réadaptation à plusieurs reprises (FF 2017 p. 2397). 4. En l’espèce, il est admis que le recourant présente des troubles émotionnels et des troubles spécifiques des acquisitions scolaires ainsi qu’une déficience intellectuelle modérée, diminuant ses possibilités de gain sur le marché du travail équilibré et qui lui ont ouvert le droit à des prestations de la part de l’intimé. L’intimé a estimé par ailleurs que l’invalidité du recourant est de 20% dès 2024, taux qui ouvre, en particulier, le droit à une mesure de reclassement (ATF 130 V 488). 4.1 Le recourant a bénéficié d’une formation de praticien en carrelage auprès de l’Orif. Le rapport du 14 juin « 2020 » de l’Orif mentionne qu’une formation en vue d’une AFP n’est pas envisageable et que les difficultés de compréhension et de mémorisation du recourant ne lui permettraient pas d’évoluer davantage. Au vu de son parcours, il serait envisageable qu’il exerce comme manœuvre. Il a de gros problèmes de compréhension et il lui est compliqué d’effectuer des calculs de base nécessaires à la profession. Il n’arrive pas à mémoriser les informations de jour en jour. L’entreprise D______ qui l’avait engagé comme aide carreleur l’a licencié. Aucun certificat de travail n’a été établi par l’entreprise. Selon le recourant, il a été licencié pour des raisons d’incompétences. Quant à G______, qui l’a engagé pour une mission temporaire comme carreleur, elle lui aurait signalé qu’elle ne le reprendrait pas, également en raison de son incompétence (procès-verbal d’audience du 7 octobre 2024). L’intimé ne conteste pas que les employeurs du recourant ont été insatisfaits du travail de celui-ci. Au vu de ce qui précède, il apparait que la formation de praticien en carrelage, n’a pas atteint le niveau d’une AFP et ne permet pas au recourant d’exercer la profession d’aide carreleur, en particulier au vu de ses difficultés à effectuer les calculs de base nécessaires à la profession, ce que l’intimé ne conteste pas. L’Orif</w:t>
      </w:r>
    </w:p>
    <w:p>
      <w:r>
        <w:t>A/1831/2024 - 10/11 - a d’ailleurs conclut, à l’issue de la formation du recourant, à une activité exigible de celui-ci de manœuvre et non pas de praticien en carrelage. L’orientation du recourant vers une activité d’aide carreleur s’est ainsi révélée erronée. 4.2 L’intimé estime que le recourant est à même d’exercer toute activité sans formation, comme celle de manœuvre. Certes, le rapport de REALISE atteste que le recourant est à même d’effectuer une activité de manœuvre. Cependant, au vu de l’échec de la FPI d’aide carreleur, il apparait justifié que le recourant puisse accéder à une formation correspondant à ses compétences, ce d’autant que son aptitude subjective à la réadaptation n’est pas contestée, sa motivation et sa persévérance ayant été soulignées en particulier dans le rapport de REALISE du 25 juin 2024. Ainsi, tenant compte tant des particularités du cas d’espèce que du but de la réforme récente de la LAI, la chambre de céans considère qu’il y a lieu d’encourager le recourant, âgé de 24 ans au jour de la décision litigieuse, à accomplir une formation professionnelle et à apprendre un métier qui lui permettrait d’intégrer l’économie libre. Le suivi d’une formation professionnelle initiale suppose toutefois que l’assuré ait arrêté son choix professionnel. Or, il ressort de l’audience du 7 octobre 2024 que le recourant sollicite des formations irréalistes. À cet égard, le recourant prétend à une formation AFP de carreleur ou à une formation de chauffeur. Cependant le rapport de l’Orif a déjà exclu la première et une formation de conducteur de bus a été considérée par l’OCE comme inappropriée vu le faible niveau de français du recourant. Seules des mesures préparatoires ou d’orientation professionnelle, qui ont pour objectif d’orienter l’assuré vers un choix professionnel ou de le préparer à une formation professionnelle, entrent ainsi en ligne de compte. De telles mesures constituent bien, dans le cas d’espèce, des mesures nécessaires, simples et adéquates en vue d’augmenter la capacité de gain du recourant. L’intimé examinera par la suite si d’autres mesures professionnelles seront encore nécessaires. La décision entreprise doit en conséquence être réformée en ce sens que le recourant a droit à une mesure d’orientation professionnelle au sens de l’art. 15 LAI (mesure d’orientation professionnelle et/ou mesure préparatoire à l’entrée en formation). 5. Bien que le recourant obtienne partiellement gain de cause, il n’est pas représenté et n’a pas fait valoir de frais engendrés par la présente procédure. Il n’a ainsi pas droit à des dépens (cf. ATAS/595/2022 du 9 juin 2022 consid. 9 ; ATAS/1320/2021 du 16 décembre 2021 consid. 9 ; ATAS/177/2021 du 4 mars 2021 consid. 11 ; ATAS/1001/2022 du 11 novembre 2022 consid. 11). La procédure de recours en matière de contestation portant sur l’octroi ou le refus de prestations de l’assurance-invalidité étant soumise à des frais de justice, un émolument de CHF 200.- sera mis à la charge de l’intimé (cf. art. 69 al. 1bis LAI).</w:t>
      </w:r>
    </w:p>
    <w:p>
      <w:r>
        <w:t>A/1831/2024 - 11/11 - PAR CES MOTIFS, LA CHAMBRE DES ASSURANCES SOCIALES : Statuant À la forme :</w:t>
      </w:r>
    </w:p>
    <w:p>
      <w:r>
        <w:rPr>
          <w:b/>
        </w:rPr>
        <w:t>E. 7</w:t>
      </w:r>
    </w:p>
    <w:p>
      <w:r>
        <w:t>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w:t>
      </w:r>
    </w:p>
    <w:p>
      <w:r>
        <w:t>A/1831/2024 - 9/11 - améliorée de manière notable (ATF 124 V 108 consid. 2a; VSI 1997 p. 85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