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ATAS/22/2020 vom 15. Januar 2020</w:t>
      </w:r>
    </w:p>
    <w:p>
      <w:r>
        <w:t>GE Cour de justice, 2020-01-15, FR</w:t>
      </w:r>
    </w:p>
    <w:p>
      <w:r>
        <w:rPr>
          <w:b/>
        </w:rPr>
        <w:t xml:space="preserve">Quelle: </w:t>
      </w:r>
      <w:r>
        <w:t>https://mcp.opencaselaw.ch/entscheid/ge_gerichte_ATAS_22_2020</w:t>
      </w:r>
    </w:p>
    <w:p>
      <w:r>
        <w:t>FR: GE_GERICHTE ATAS/22/2020 du 15 janvier 2020</w:t>
      </w:r>
    </w:p>
    <w:p>
      <w:r>
        <w:t>IT: GE_GERICHTE ATAS/22/2020 del 15 gennaio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w:t>
      </w:r>
    </w:p>
    <w:p>
      <w:r>
        <w:t>- 4/7-</w:t>
      </w:r>
    </w:p>
    <w:p>
      <w:r>
        <w:t>A/4040/2019 fédérale sur la partie générale du droit des assurances sociales, du 6 octobre 2000 (LPGA - RS 830.1) relatives à la loi fédérale sur les prestations complémentaires à l’assurance-vieillesse, survivants et invalidité du 6 octobre 2006 (LPC - RS 831.30). Ele statue aussi, en application de l'art. 134 al. 3 let. a LOJ, sur les contestations prévues à l'art. 43 de la loi cantonale sur les prestations complémentaires cantonales du 25 octobre 1968 (LPCC - J 4 25) ;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LPA - E 5 10). En l'occurrence, il n'est pas contesté que le recours a été interjeté après le délai de 30 jours dès sa réception, étant précisé que l’intimé a démontré, par la production de la copie de l’enveloppe ayant contenu la décision sur opposition du 19 septembre 2019, que le « track and trace » produit correspondait bien à celle-ci.</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w:t>
      </w:r>
    </w:p>
    <w:p>
      <w:r>
        <w:t>- 5/7-</w:t>
      </w:r>
    </w:p>
    <w:p>
      <w:r>
        <w:t>A/4040/2019 directe (GILLIÉRON, op. cit., n° 42 ad art. 33 LP). De même, s'agissant des auxiliaires, l'application des motifs exonérant la responsabilité de l'employeur selon l'art. 55 CO est exclue (arrêts 5A_30/2010 précité; 2P.264/2003 du 29 octobre 2003 consid. 2.1 et les références).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l’arrêt de la Cour cantonale, qui avait considéré – appréciant notamment un certificat médical qui attestait d’un léger retard mental et de graves problèmes médicaux diminuant les facultés de discernement de la recourante – que celle-ci n'avait fait l'objet d'aucune mesure tutélaire, qu'elle avait été en mesure de charger</w:t>
      </w:r>
    </w:p>
    <w:p>
      <w:r>
        <w:t>- 6/7-</w:t>
      </w:r>
    </w:p>
    <w:p>
      <w:r>
        <w:t>A/4040/2019 sa cousine de gérer ses affaires et que la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w:t>
      </w:r>
    </w:p>
    <w:p>
      <w:r>
        <w:rPr>
          <w:b/>
        </w:rPr>
        <w:t>E. 5</w:t>
      </w:r>
    </w:p>
    <w:p>
      <w:r>
        <w:t>En l'espèce, les explications de la recourante et le certificat médical produit ne suffisent pas à établir, au degré de la vraisemblance prépondérante, qu’elle était incapable de recourir dans le délai de 30 jours contre la décision sur opposition du 19 septembre 2019. Le certificat médical du Dr B______ ne fait, en particulier, pas mention d’une atteinte à sa capacité de discernement. L’atteinte à l’état de santé de la recourante, telle qu’elle résulte de celui-ci n’apparaît pas assez grave pour l'empêcher de recourir à temps et demander, si nécessaire, l’aide d'un tiers, ce qu’elle a d’ailleurs fait en s’adressant à l’APAS, suite au courrier qui lui a été adressé par la chambre de céans le 21 novembre 2019. La recourante a été capable de rédiger elle-même son recours ou, à tout le moins, de se faire aider pour ce faire, ce qui démontre qu’elle dispose de certaines ressources sur le plan administratif. Elle n’allègue pas être au bénéfice d'une mesure tutélaire, ni ne prétend que des démarches auraient été entreprises en ce sens. Dans ces circonstances, le non- respect du délai de recours n’est pas excusable, au sens de l’art. 41 LPGA.</w:t>
      </w:r>
    </w:p>
    <w:p>
      <w:r>
        <w:rPr>
          <w:b/>
        </w:rPr>
        <w:t>E. 6</w:t>
      </w:r>
    </w:p>
    <w:p>
      <w:r>
        <w:t>Le recours doit ainsi être déclaré irrecevable pour cause de tardiveté.</w:t>
      </w:r>
    </w:p>
    <w:p>
      <w:r>
        <w:rPr>
          <w:b/>
        </w:rPr>
        <w:t>E. 7</w:t>
      </w:r>
    </w:p>
    <w:p>
      <w:r>
        <w:t>La procédure est gratuite (art. 61 let. a LPGA).</w:t>
      </w:r>
    </w:p>
    <w:p>
      <w:r>
        <w:t>- 7/7-</w:t>
      </w:r>
    </w:p>
    <w:p>
      <w:r>
        <w:t>A/4040/2019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