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ATAS/22/2013 vom 16. Januar 2013</w:t>
      </w:r>
    </w:p>
    <w:p>
      <w:r>
        <w:t>GE Cour de justice, 2013-01-16, FR</w:t>
      </w:r>
    </w:p>
    <w:p>
      <w:r>
        <w:rPr>
          <w:b/>
        </w:rPr>
        <w:t xml:space="preserve">Quelle: </w:t>
      </w:r>
      <w:r>
        <w:t>https://mcp.opencaselaw.ch/entscheid/ge_gerichte_ATAS_22_2013</w:t>
      </w:r>
    </w:p>
    <w:p>
      <w:r>
        <w:t>FR: GE_GERICHTE ATAS/22/2013 du 16 janvier 2013</w:t>
      </w:r>
    </w:p>
    <w:p>
      <w:r>
        <w:t>IT: GE_GERICHTE ATAS/22/2013 del 16 gennaio 2013</w:t>
      </w:r>
    </w:p>
    <w:p>
      <w:pPr>
        <w:pStyle w:val="Heading2"/>
      </w:pPr>
      <w:r>
        <w:t>Erwägungen</w:t>
      </w:r>
    </w:p>
    <w:p>
      <w:r>
        <w:rPr>
          <w:b/>
        </w:rPr>
        <w:t>E. 1</w:t>
      </w:r>
    </w:p>
    <w:p>
      <w:r>
        <w:t>Depuis le 1er janvier 2011, la Chambre des assurances sociales est compétente en la matière (art. 134 de la loi sur l’organisation judiciaire; [LOJ; RSG E 2 05]).</w:t>
      </w:r>
    </w:p>
    <w:p>
      <w:r>
        <w:t>- 18/21-</w:t>
      </w:r>
    </w:p>
    <w:p>
      <w:r>
        <w:t>A/1620/2011</w:t>
      </w:r>
    </w:p>
    <w:p>
      <w:r>
        <w:rPr>
          <w:b/>
        </w:rPr>
        <w:t>E. 2</w:t>
      </w:r>
    </w:p>
    <w:p>
      <w:r>
        <w:t>La loi sur la partie générale des assurances sociales (LPGA), entrée en vigueur le 1er janvier 2003, est applicable au cas d’espèce.</w:t>
      </w:r>
    </w:p>
    <w:p>
      <w:r>
        <w:rPr>
          <w:b/>
        </w:rPr>
        <w:t>E. 3</w:t>
      </w:r>
    </w:p>
    <w:p>
      <w:r>
        <w:t>Le recours, déposé dans les formes et délai prévus par la loi est recevable à la forme (art. 56 et 60 LPGA).</w:t>
      </w:r>
    </w:p>
    <w:p>
      <w:r>
        <w:rPr>
          <w:b/>
        </w:rPr>
        <w:t>E. 4</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ATF non publié 9C_543/2009 du 1er octobre 2009, consid. 2.2). En particulier, il y a lieu de mettre en œuvre une expertise lorsqu'il apparaît nécessaire de clarifier les aspects médicaux du cas (ATFA non publié I 751/03 du 19 mars 2004, consid. 3.3). Lorsque le juge des assurances sociales constate qu'une instruction est nécessaire, il doit en principe mettre lui-même en œuvre une expertise (ATF 137 V 210 consid. 4.4.1.3 et 4.4.1.4).</w:t>
      </w:r>
    </w:p>
    <w:p>
      <w:r>
        <w:rPr>
          <w:b/>
        </w:rPr>
        <w:t>E. 5</w:t>
      </w:r>
    </w:p>
    <w:p>
      <w:r>
        <w:t>Dater, même approximativement, la survenance des lésions constatées à l'arthro-IRM du 30 juin 2010 (rupture complète du ligament talo- fibulaire antérieur et rupture partielle de stade II au moins du ligament tibio-astragalien postérieur).</w:t>
      </w:r>
    </w:p>
    <w:p>
      <w:r>
        <w:rPr>
          <w:b/>
        </w:rPr>
        <w:t>E. 6</w:t>
      </w:r>
    </w:p>
    <w:p>
      <w:r>
        <w:t>S'agissant des troubles orthopédiques, répondre aux questions suivantes: a) Les troubles du recourant depuis l'accident du 4 juillet 2007 sont- ils objectivés du point de vue orthopédique? Au besoin, distinguez l'appréciation en fonction des différentes périodes. b) Les troubles présentés par le recourant à la suite de l'accident du 4 juillet 2007 sont-ils en en lien de causalité avec cet accident? Dans l’affirmative, le sont-ils de manière possible (jusqu'à 50 %), probable (plus de 50%) ou certaine? c) Le cas échéant, quels sont les facteurs étrangers à l’accident du 4 juillet 2007 (maladifs, dégénératifs, accidentels, autres) qui ont contribué, avec l’accident en question, aux lésions constatées, et dans quelle mesure? Dans l’affirmative, veuillez indiquer le pourcentage relatif à l’accident et celui relatif aux facteurs étrangers. d) Les facteurs étrangers sont-ils devenus ou deviennent-ils, à partir d’un moment déterminé, avec un degré de vraisemblance prépondérante, les seules causes influentes sur l’état de santé (statu quo sine ou statu quo ante atteint) ? Dans l'affirmative, veuillez indiquer à partir de quelle date. e) Peut-on déterminer de manière possible (jusqu'à 50 %), probable (plus de 50%) ou certaine si l'événement du 19 mai 2010</w:t>
      </w:r>
    </w:p>
    <w:p>
      <w:r>
        <w:t>- 21/21-</w:t>
      </w:r>
    </w:p>
    <w:p>
      <w:r>
        <w:t>A/1620/2011 constitue une rechute de l'accident du 4 juillet 2007 ou de l'accident de janvier 1988?</w:t>
      </w:r>
    </w:p>
    <w:p>
      <w:r>
        <w:rPr>
          <w:b/>
        </w:rPr>
        <w:t>E. 7</w:t>
      </w:r>
    </w:p>
    <w:p>
      <w:r>
        <w:t>Indiquer si et le cas échéant quand l'état de santé du recourant s'est stabilisé à la suite de l'accident du 4 juillet 2007.</w:t>
      </w:r>
    </w:p>
    <w:p>
      <w:r>
        <w:rPr>
          <w:b/>
        </w:rPr>
        <w:t>E. 8</w:t>
      </w:r>
    </w:p>
    <w:p>
      <w:r>
        <w:t>Mentionner, pour chaque diagnostic posé, ses conséquences en pourcent sur la capacité de travail du recourant dès le 4 juillet 2007 dans l'activité antérieure et l'évolution de la capacité de travail dans le temps.</w:t>
      </w:r>
    </w:p>
    <w:p>
      <w:r>
        <w:rPr>
          <w:b/>
        </w:rPr>
        <w:t>E. 9</w:t>
      </w:r>
    </w:p>
    <w:p>
      <w:r>
        <w:t>Indiquer les limitations fonctionnelles dues à chaque diagnostic.</w:t>
      </w:r>
    </w:p>
    <w:p>
      <w:r>
        <w:rPr>
          <w:b/>
        </w:rPr>
        <w:t>E. 10</w:t>
      </w:r>
    </w:p>
    <w:p>
      <w:r>
        <w:t>Déterminer à partir de quelle date une activité adaptée est exigible et à quel taux. Indiquer le domaine d'activité adapté.</w:t>
      </w:r>
    </w:p>
    <w:p>
      <w:r>
        <w:rPr>
          <w:b/>
        </w:rPr>
        <w:t>E. 11</w:t>
      </w:r>
    </w:p>
    <w:p>
      <w:r>
        <w:t>Dire s'il y a une diminution de rendement et la chiffrer.</w:t>
      </w:r>
    </w:p>
    <w:p>
      <w:r>
        <w:rPr>
          <w:b/>
        </w:rPr>
        <w:t>E. 12</w:t>
      </w:r>
    </w:p>
    <w:p>
      <w:r>
        <w:t>Évaluer la possibilité d'améliorer la capacité de travail par des mesures médicales et cas échéant indiquer le/les traitement(s) nécessaire(s).</w:t>
      </w:r>
    </w:p>
    <w:p>
      <w:r>
        <w:rPr>
          <w:b/>
        </w:rPr>
        <w:t>E. 13</w:t>
      </w:r>
    </w:p>
    <w:p>
      <w:r>
        <w:t>Formuler un pronostic global.</w:t>
      </w:r>
    </w:p>
    <w:p>
      <w:r>
        <w:rPr>
          <w:b/>
        </w:rPr>
        <w:t>E. 14</w:t>
      </w:r>
    </w:p>
    <w:p>
      <w:r>
        <w:t>Déterminer si le recourant subit des suites de l'accident du 4 juillet 2007 une atteinte durable à son intégrité physique et cas échéant, chiffrer le pourcentage de cette atteinte conformément à la table "Indemnisation des atteintes à l'intégrité selon la LAA", en tenant compte de l'indemnité de 5% déjà versée par la SUVA.</w:t>
      </w:r>
    </w:p>
    <w:p>
      <w:r>
        <w:rPr>
          <w:b/>
        </w:rPr>
        <w:t>E. 15</w:t>
      </w:r>
    </w:p>
    <w:p>
      <w:r>
        <w:t>Commenter et discuter les avis médicaux au dossier, s'agissant notamment des douleurs du recourant. 5. Commet à ces fins les Drs U__________, spécialiste FMH en radiologie, à Genève et V__________, spécialiste FMH en chirurgie orthopédique à Bellevue. 6. Invite les experts à déposer à leur meilleure convenance un rapport en quatre exemplaires à la Cour de céans. 7. Réserve la suite de la procédure.</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