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ATAS/22/2009 vom 20. März 2000</w:t>
      </w:r>
    </w:p>
    <w:p>
      <w:r>
        <w:t>GE Cour de justice, 2000-03-20, FR</w:t>
      </w:r>
    </w:p>
    <w:p>
      <w:r>
        <w:rPr>
          <w:b/>
        </w:rPr>
        <w:t xml:space="preserve">Quelle: </w:t>
      </w:r>
      <w:r>
        <w:t>https://mcp.opencaselaw.ch/entscheid/ge_gerichte_ATAS_22_2009</w:t>
      </w:r>
    </w:p>
    <w:p>
      <w:r>
        <w:t>FR: GE_GERICHTE ATAS/22/2009 du 20 mars 2000</w:t>
      </w:r>
    </w:p>
    <w:p>
      <w:r>
        <w:t>IT: GE_GERICHTE ATAS/22/2009 del 20 marzo 2000</w:t>
      </w:r>
    </w:p>
    <w:p>
      <w:pPr>
        <w:pStyle w:val="Heading2"/>
      </w:pPr>
      <w:r>
        <w:t>Erwägungen</w:t>
      </w:r>
    </w:p>
    <w:p>
      <w:r>
        <w:rPr>
          <w:b/>
        </w:rPr>
        <w:t>E. 2</w:t>
      </w:r>
    </w:p>
    <w:p>
      <w:r>
        <w:t>Sauf si elle porte sur une prestation pécuniaire, la décision de l’autorité inférieure peut prévoir qu’un recours éventuel n’aura pas d’effet suspensif; l’autorité de recours, ou son président s’il s’agit d’un collège, a le même droit après le dépôt du recours.</w:t>
      </w:r>
    </w:p>
    <w:p>
      <w:r>
        <w:rPr>
          <w:b/>
        </w:rPr>
        <w:t>E. 3</w:t>
      </w:r>
    </w:p>
    <w:p>
      <w:r>
        <w:t>L’autorité de recours ou son président peut restituer l’effet suspensif à un recours auquel l’autorité inférieure l’avait retiré; la demande de restitution de l’effet suspensif est traitée sans délai. » ; Qu'en outre, l’art. 66 LPA prévoit ce qui suit : « 1 Sauf disposition légale contraire, le recours a effet suspensif à moins que l’autorité qui a pris la décision attaquée n’ait ordonné l’exécution nonobstant recours ; 2 Toutefois, lorsqu'aucun intérêt public ou privé prépondérant ne s’y oppose, la juridiction de recours peut, sur la demande de la partie dont les intérêts sont gravement menacés, retirer ou restituer l’effet suspensif. ». Que le retrait de l’effet suspensif ne peut avoir lieu sans une pesée des intérêts en présence, et l’effet suspensif doit être la règle, pour éviter que l’autorité de recours ne soit mise devant le fait accompli (cf. op. cité, p. 405-406 et références) ; que d'après la jurisprudence relative à l'art. 55 al. 1 PA,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 supplémentaires ; qu'en procédant à la pesée des intérêts en présence et à l'examen des motifs qui militent pour ou contre l'exécution immédiate de la décision, on peut prendre en considération les prévisions sur l'issue du litige; qu'il faut cependant qu'elles ne fassent aucun doute (cf. ATF 119 V 507 consid. 4; Kieser, Das Verwaltungsverfahren in der Sozialversicherung, n. 406 ss p.190 ss, Rhinow/Koller/Kiss, Öffentliches Prozessrecht und Justizverfassungsrecht des Bundes, vol. II, n. 5.7.3.3 p. 443, Kölz/Häner, Verwaltungsverfahren und Verwaltungsrechtspflege des Bundes, 2e éd., n. 650 p. 233, et Gygi, Bundesverwaltungsrechtspflege, 2e éd., p. 244) ; que par ailleurs, l'autorité ne peut retirer l’effet suspensif que lorsqu'elle a des raisons convaincantes</w:t>
      </w:r>
    </w:p>
    <w:p>
      <w:r>
        <w:t>A/4059/2008 - 5/8 - pour le faire (ATF 117 V 191 consid. 2b et les références ; voir aussi ATFA du 2 mars 2000, cause I 726/99 Mh) ; Que les mesures provisionnelles ne sont légitimes, aux termes de la loi,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Qu'en l'espèce, il s'avère que l'OCAI a suspendu le versement de la rente, au vu du dépôt par l'assureur LAA d'une plainte pénale à l'encontre de l'assurée ; Qu'accorder le rétablissement de l'effet suspensif reviendrait ainsi à anticiper sur le jugement au fond ; que la question de l'effet suspensif en effet se confond avec celle de la suspension du versement de la rente ; que le point de savoir si l'assurée a droit ou non en l'état au versement de sa rente d'invalidité relève indiscutablement du droit de fond ; Qu'il n'apparaît dès lors pas utile de se prononcer sur cette question à titre incident ; qu'il se justifie de trancher le fond, la cause étant en état d'être jugée, puisque l'OCAI s'est déterminé à ce propos par courrier du 10 décembre 2008 ; Que la décision litigieuse visant à la suspension des prestations en attendant l'issue de l'instruction quant au droit à la rente est une décision de mesures provisionnelles ; que l'OCAI fonde sa décision sur l'art. 56 PA, selon lequel «après le dépôt du recours, l’autorité de recours, son président ou le juge instructeur peut prendre d’autres mesures provisionnelles, d’office ou sur requête d’une partie, pour maintenir intact un état de fait existant ou sauvegarder des intérêts menacés » ; que cette disposition légale est à mettre en lien avec l'art. 55, relatif aux mesures provisionnelles, plus spécifiquement à l'effet suspensif, à sa suppression et à sa restitution ; qu'il est admis que ces articles sont applicables également à l'administration et non pas uniquement en procédure de recours (voir par exemple ATF 117 V 185) ; Que toutefois, s'ils autorisent l'OCAI à rendre une décision incidente de mesures provisionnelles, par exemple pour sauvegarder des intérêts menacés, il ne découle encore pas que la décision litigieuse repose sur une base légale ; qu'il convient en effet de rappeler que cette décision ordonne la « mise en suspens de la rente » ; qu'aucune base légale fédérale ne prévoit expressément la possibilité pour l'administration d'agir de</w:t>
      </w:r>
    </w:p>
    <w:p>
      <w:r>
        <w:t>A/4059/2008 - 6/8 - la sorte ; qu'il faut déjà examiner si l'OCAI était légitimé à prendre une telle décision en tant que mesure provisionnelle ; Qu'à ce sujet, on rappellera tout d'abord qu'aux termes de la PA, l'autorité entend les parties avant de prendre une décision ; qu'elle n'est pas tenue de le faire s'agissant d'une décision incidente non susceptible de recours, d'une décision susceptible d'être frappée d'opposition, d'une décision par laquelle elle fait entièrement droit aux conclusions des parties, d'une mesure d'exécution, ou d'autre décision dans une procédure de première instance lorsqu'il y a péril en la demeure, que le recours est ouvert aux parties et qu'aucune disposition d'une loi fédérale ne leur accorde le droit d'être entendues préalablement ; qu'en l'occurrence, il ressort du dossier que l'OCAI a adressé à l'assurée un questionnaire portant sur la révision de rente avant de lui notifier la décision litigieuse ; Qu'à cela s'ajoute que la nature même de la mesure provisionnelle implique que l'on se trouve dans le cadre d'une procédure principale ; que c'est le lieu de rappeler que les mesures provisionnelles peuvent être ordonnées en vue de l'ouverture d'une procédure, ou au cours de celle-ci ; qu'elles ne se justifient qu'en relation avec l'objet et la durée de la procédure principale ; qu'elles n'ont donc qu'un caractère accessoire, et un caractère provisoire ; que l'autorité appelée à prendre des mesures provisionnelles doit rester dans le cadre de ses attributions, et respecter les limites posées à son pouvoir de décision ; que si elle vise à assurer l'efficacité d'une décision ultérieure, les mesures provisoires ne doivent pas anticiper, rendre d'emblée illusoire ou rendre impossible la décision ou le jugement au fond, ni équivaloir à une condamnation provisoire sur le fond ; que le caractère provisoire de ces mesures a pour conséquence que si elles sont ordonnées avant qu'une décision principale ne soit rendue, elles doivent être validées par la prise d'une telle décision principale dans un certain délai, que fixe la loi, ou alors que si elles sont ordonnées en cours de procédure, elles se limitent à la durée de celle-ci ; si l'intérêt qui justifie les mesures provisionnelles se trouvent en contradiction avec d'autres intérêts privés ou publics, l'autorité doit procéder à une pesée des intérêts en présence (cf. Benoît BOVAY, procédure administrative, éditions Staempfli, p. 413-414) ; Qu'une décision incidente, telle la décision litigieuse, ne peut se concevoir que dans le cadre d'une procédure en révision du droit à la rente, et pour autant que, dans ce cadre, la pesée des intérêts le justifie ; Que la décision litigieuse est bel et bien liée à une procédure de révision de la rente initiée par l'OCAI ; que l'assurée en a été informée ; Qu'il y a lieu de rappeler qu'en procédant à la pesée des intérêts en présence, on peut prendre en considération les prévisions sur l'issue de litige ; Que celles-ci ne présentent pas un degré de certitude suffisant pour être prises en compte en l'espèce puisqu'elles dépendent en grande partie de l'issue de la procédure pénale intentée par l'assureur LAA contre l'assurée ; que cette procédure est pendante ;</w:t>
      </w:r>
    </w:p>
    <w:p>
      <w:r>
        <w:t>A/4059/2008 - 7/8 - Qu'au vu de ce qui précède, on doit dès lors admettre que l'intérêt de l'OCAI à suspendre le versement de la rente l'emporte sur celui de l'assurée à la percevoir pendant toute la procédure de révision ; que le recours se révèle ainsi mal fondé ;</w:t>
      </w:r>
    </w:p>
    <w:p>
      <w:r>
        <w:t>A/4059/2008 - 8/8 -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