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ATAS/229/2017 vom 21. März 2017</w:t>
      </w:r>
    </w:p>
    <w:p>
      <w:r>
        <w:t>GE Cour de justice, 2017-03-21, FR</w:t>
      </w:r>
    </w:p>
    <w:p>
      <w:r>
        <w:rPr>
          <w:b/>
        </w:rPr>
        <w:t xml:space="preserve">Quelle: </w:t>
      </w:r>
      <w:r>
        <w:t>https://mcp.opencaselaw.ch/entscheid/ge_gerichte_ATAS_229_2017</w:t>
      </w:r>
    </w:p>
    <w:p>
      <w:r>
        <w:t>FR: GE_GERICHTE ATAS/229/2017 du 21 mars 2017</w:t>
      </w:r>
    </w:p>
    <w:p>
      <w:r>
        <w:t>IT: GE_GERICHTE ATAS/229/2017 del 21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A/1974/2016 - 9/16 -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En l’espèce, les faits déterminants remontent à 2007, et la décision querellée du 12 mai 2016 est postérieure à l’entrée en vigueur des modifications de la LAI suscitées. Par conséquent, du point de vue matériel, le droit éventuel aux prestations d’invalidité doit donc être examiné au regard des modifications de la LAI consécutives à la 4ème, 5ème révision et la révision 6a de cette loi, dans la mesure de leur pertinence (ATF 130 V 445 et les références; voir également ATF 130 V 329). Cela étant, la révision précitée n'a pas amené de modifications substantielles sur les sujets pertinents dans la présente affaire, en particulier sur la notion d'invalidité et le cas échéant la manière d'évaluer l'invalidité (arrêt du Tribunal fédéral I.249/05 du 11 juillet 2006 consid. 2.1 et Message concernant la modification de la loi fédérale sur l'assurance-invalidité du 22 juin 2005, FF 2005 p. 4322).</w:t>
      </w:r>
    </w:p>
    <w:p>
      <w:r>
        <w:rPr>
          <w:b/>
        </w:rPr>
        <w:t>E. 5</w:t>
      </w:r>
    </w:p>
    <w:p>
      <w:r>
        <w:t>Le délai de recours est de 30 jours. Interjeté dans les forme et délai prévus par la loi, le présent recours est recevable (art. 56ss LPGA).</w:t>
      </w:r>
    </w:p>
    <w:p>
      <w:r>
        <w:rPr>
          <w:b/>
        </w:rPr>
        <w:t>E. 6</w:t>
      </w:r>
    </w:p>
    <w:p>
      <w:r>
        <w:t>Le litige porte sur le droit de l’assurée à des prestations de l’assurance-invalidité, en particulier sur la question de savoir si elle peut être mise au bénéfice d’un quart de rente à compter du 1er mai 2008.</w:t>
      </w:r>
    </w:p>
    <w:p>
      <w:r>
        <w:rPr>
          <w:b/>
        </w:rPr>
        <w:t>E. 7</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w:t>
      </w:r>
    </w:p>
    <w:p>
      <w:r>
        <w:t>A/1974/2016 - 10/16 -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(ATF 130 V 488 consid. 4.2, ATF 124 V 108 consid. 3a).</w:t>
      </w:r>
    </w:p>
    <w:p>
      <w:r>
        <w:rPr>
          <w:b/>
        </w:rPr>
        <w:t>E. 9</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w:t>
      </w:r>
    </w:p>
    <w:p>
      <w:r>
        <w:t>A/1974/2016 - 11/16 - 60% au moins, à une demi-rente s’il est invalide à 50% au moins ou à un quart de rente s’il est invalide à 40% au moins.</w:t>
      </w:r>
    </w:p>
    <w:p>
      <w:r>
        <w:rPr>
          <w:b/>
        </w:rPr>
        <w:t>E. 10</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w:t>
      </w:r>
    </w:p>
    <w:p>
      <w:r>
        <w:t>A/1974/2016 - 12/16 -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w:t>
      </w:r>
    </w:p>
    <w:p>
      <w:r>
        <w:rPr>
          <w:b/>
        </w:rPr>
        <w:t>E. 11</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138 I 205 consid. 3.2).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(arrêt du Tribunal fédéral 9C_924/2011 du 3 juillet 2012 consid. 5.2.1).</w:t>
      </w:r>
    </w:p>
    <w:p>
      <w:r>
        <w:t>A/1974/2016 - 13/16 -</w:t>
      </w:r>
    </w:p>
    <w:p>
      <w:r>
        <w:rPr>
          <w:b/>
        </w:rPr>
        <w:t>E. 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ATF 129 V 222 consid. 4.1).</w:t>
      </w:r>
    </w:p>
    <w:p>
      <w:r>
        <w:rPr>
          <w:b/>
        </w:rPr>
        <w:t>E. 13</w:t>
      </w:r>
    </w:p>
    <w:p>
      <w:r>
        <w:t>Par la décision litigieuse du 12 mai 2016, l’OAI a fixé le degré d’invalidité de l’assurée à 29%, taux insuffisant pour justifier le droit à une rente d’invalidité. Il a calculé le revenu d’invalidité en se fondant sur les ESS, niveau de compétence 2, et compte tenu d’une baisse de rendement de 15%. Il a considéré que la diminution de la baisse de rendement devait être limitée à 15%, du fait qu’une réceptionniste n’effectuait pas de saisie informatique à plein temps. L’accueil et les réponses téléphoniques duraient autant de temps que l’utilisation d’un clavier d’ordinateur, voire plus. L’assurée a contesté le taux de 15% retenu par l’OAI, rappelant que selon le SMR, - qui reprenait, dans ses notes des 12 octobre 2011 et 15 novembre 2012, les conclusions de l’expertise du Dr D______ du 28 juin 2011 -, sa capacité de travail était entière dans une activité adaptée aux limitations fonctionnelles, avec une diminution de rendement de 30% dans l’écriture et l’utilisation des outils informatiques. Ces activités ne devaient par ailleurs pas être exercées en continu ; elles devaient être pratiquées en alternance avec des activités ne nécessitant pas l’utilisation du membre supérieur droit. Elle a par ailleurs expliqué que, contrairement à ce que soutient l’OAI, les réceptionnistes portent désormais des casques main libre et doivent ainsi saisir les données informatiques de façon quasiment permanente.</w:t>
      </w:r>
    </w:p>
    <w:p>
      <w:r>
        <w:rPr>
          <w:b/>
        </w:rPr>
        <w:t>E. 14</w:t>
      </w:r>
    </w:p>
    <w:p>
      <w:r>
        <w:t>Dans son rapport du 28 juin 2011, le Dr D______ a considéré que l’assurée présentait une capacité de travail entière dans une activité adaptée dès le 1er mars 2011, avec toutefois une diminution de rendement d’environ 30% pour l’écriture et l’usage des outils informatiques. L’OAI a considéré que cette diminution de rendement de 30%, en tant qu’elle visait exclusivement l’écriture et l’utilisation d’un clavier d’ordinateur, devait être réduite de moitié, pour tenir compte du fait qu’une secrétaire-réceptionniste n’avait à accomplir ce type de tâches que partiellement.</w:t>
      </w:r>
    </w:p>
    <w:p>
      <w:r>
        <w:t>A/1974/2016 - 14/16 - Il y a lieu de rappeler que l’assurée a obtenu, dans le cadre de formations prises en charge par l’OAI, un diplôme d’employée de bureau, option informatique et une attestation certifiante de réception secrétariat. Or, l’OAI part du principe que seule une activité de réceptionniste devrait être envisagée pour l’assurée. La chambre de céans considère à cet égard que la recherche d’un emploi n’est pas si aisée sur le marché du travail que l’on puisse limiter d’emblée aussi drastiquement le champ d’activité possible de l’assurée, alors qu’une formation d’employée de bureau lui a précisément été accordée. Il apparaît de plus que la diminution de la baisse de rendement de 50% a été évaluée par l’OAI de façon approximative. Quoi qu’il en soit, l’existence d’un poste dans lequel elle ne devrait ni écrire ni utiliser d’outils informatiques trop longtemps est plus que douteuse. Il y a par ailleurs lieu de rappeler qu’aucune réduction supplémentaire n’a été admise, au motif que les limitations fonctionnelles notamment étaient déjà prises en compte. Aussi la chambre de céans peine-t-elle à comprendre pour quelle raison il se justifierait de réduire de moitié le pourcentage fixé par l’expert, ce d’autant moins que dans un premier temps, soit les 12 octobre 2011 et 15 novembre 2012, le SMR s’était déclaré d’accord avec ces conclusions. Elle retiendra dans ces conditions une diminution de rendement de 30%.</w:t>
      </w:r>
    </w:p>
    <w:p>
      <w:r>
        <w:rPr>
          <w:b/>
        </w:rPr>
        <w:t>E. 15</w:t>
      </w:r>
    </w:p>
    <w:p>
      <w:r>
        <w:t>Reste à déterminer le degré d’invalidité.</w:t>
      </w:r>
    </w:p>
    <w:p>
      <w:r>
        <w:rPr>
          <w:b/>
        </w:rPr>
        <w:t>E. 16</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w:t>
      </w:r>
    </w:p>
    <w:p>
      <w:r>
        <w:t>A/1974/2016 - 15/16 -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17</w:t>
      </w:r>
    </w:p>
    <w:p>
      <w:r>
        <w:t>Il résulte de ce qui précède que le degré d’invalidité de l’assurée doit être calculé compte tenu d’une diminution de rendement de 30%, ce qui implique de comparer un revenu sans invalidité de CHF 73'099.- (revenu de 69'790.- en 2009 selon l’employeur réactualisé 2014) et un revenu avec invalidité de CHF 42'525.- (60'749 – 30%). Le degré d’invalidité ainsi obtenu est de 41,8%, ce qui ouvre le droit de l’assurée à un quart de rente d’invalidité (art. 28 al. 2 LAI).</w:t>
      </w:r>
    </w:p>
    <w:p>
      <w:r>
        <w:rPr>
          <w:b/>
        </w:rPr>
        <w:t>E. 18</w:t>
      </w:r>
    </w:p>
    <w:p>
      <w:r>
        <w:t>Aux termes de l’art. 29 LAI, « 1 Le droit à la rente prend naissance au plus tôt à l'échéance d'une période de six mois à compter de la date à laquelle l'assuré a fait valoir son droit aux prestations conformément à l'art. 29 al. 1 LPGA, mais pas avant le mois qui suit le 18e anniversaire de l'assuré. 2 Le droit ne prend pas naissance tant que l'assuré peut faire valoir son droit à une indemnité journalière au sens de l'art. 22. 3 La rente est versée dès le début du mois au cours duquel le droit prend naissance ».</w:t>
      </w:r>
    </w:p>
    <w:p>
      <w:r>
        <w:rPr>
          <w:b/>
        </w:rPr>
        <w:t>E. 19</w:t>
      </w:r>
    </w:p>
    <w:p>
      <w:r>
        <w:t>En l’espèce, le reclassement dont l’assurée a bénéficié s’est terminé en décembre 2013, de sorte que son droit à la rente naît le 1er décembre 2013.</w:t>
      </w:r>
    </w:p>
    <w:p>
      <w:r>
        <w:rPr>
          <w:b/>
        </w:rPr>
        <w:t>E. 20</w:t>
      </w:r>
    </w:p>
    <w:p>
      <w:r>
        <w:t>Le recours est en conséquence partiellement admis, en ce sens que l’assurée a droit à un quart de rente dès le 1er décembre 2013.</w:t>
      </w:r>
    </w:p>
    <w:p>
      <w:r>
        <w:t>A/1974/2016 - 16/16 -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