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ATAS/228/2025 vom 31. März 2025</w:t>
      </w:r>
    </w:p>
    <w:p>
      <w:r>
        <w:t>GE Cour de justice, 2025-03-31, FR</w:t>
      </w:r>
    </w:p>
    <w:p>
      <w:r>
        <w:rPr>
          <w:b/>
        </w:rPr>
        <w:t xml:space="preserve">Quelle: </w:t>
      </w:r>
      <w:r>
        <w:t>https://mcp.opencaselaw.ch/entscheid/ge_gerichte_ATAS_228_2025</w:t>
      </w:r>
    </w:p>
    <w:p>
      <w:r>
        <w:t>FR: GE_GERICHTE ATAS/228/2025 du 31 mars 2025</w:t>
      </w:r>
    </w:p>
    <w:p>
      <w:r>
        <w:t>IT: GE_GERICHTE ATAS/228/2025 del 31 marzo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Il y a lieu d’examiner la qualité pour recourir de l’époux de la recourante.</w:t>
      </w:r>
    </w:p>
    <w:p>
      <w:r>
        <w:rPr>
          <w:b/>
        </w:rPr>
        <w:t>E. 2.1</w:t>
      </w:r>
    </w:p>
    <w:p>
      <w:r>
        <w:t>À teneur de l’art. 60 al. 1 LPA, ont qualité pour recourir notamment les parties à la procédure qui a abouti à la décision attaquée (let. a) et toute personne qui est touchée directement par une décision et a un intérêt personnel digne de protection à ce qu’elle soit annulée ou modifiée (let. b). Quant à l’art 59 LPGA, il prévoit que quiconque est touché par la décision ou la décision sur opposition et a un intérêt digne d’être protégé à ce qu’elle soit annulée ou modifiée a qualité pour recourir.</w:t>
      </w:r>
    </w:p>
    <w:p>
      <w:r>
        <w:rPr>
          <w:b/>
        </w:rPr>
        <w:t>E. 2.2</w:t>
      </w:r>
    </w:p>
    <w:p>
      <w:r>
        <w:t>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w:t>
      </w:r>
    </w:p>
    <w:p>
      <w:r>
        <w:t>A/3105/2024 - 5/13 - décision attaquée lui occasionnerait (ATF 138 II 162 consid. 2.1.2 ; 120 V 38 consid. 2b). L’intérêt doit être direct et concret ; en particulier, la personne doit se trouver dans un rapport suffisamment étroit avec la décision, tel n’étant pas le cas de celui qui n’est atteint que de manière indirecte ou médiate (ATF 125 V 339 consid. 4a et les références).</w:t>
      </w:r>
    </w:p>
    <w:p>
      <w:r>
        <w:rPr>
          <w:b/>
        </w:rPr>
        <w:t>E. 2.3</w:t>
      </w:r>
    </w:p>
    <w:p>
      <w:r>
        <w:t>La jurisprudence reconnaît la qualité pour recourir d'un enfant en vue d'obtenir la reconnaissance, en faveur de l'un de ses parents, du droit à une prestation complémentaire à une rente de l'assurance-invalidité, l'enfant étant légitimé à déposer la demande de prestations complémentaires pour le compte de son parent (ATF 138 V 292). Les mêmes prérogatives sont accordées au conjoint de l'ayant droit, selon les termes de l'art. 67 al. 1 du règlement sur l'assurance- vieillesse et survivants du 31 octobre 1947 (RAVS - RS 831.101), applicable par renvoi de l'art. 20 al. 1 de l'ordonnance sur les prestations complémentaires à l'assurance-vieillesse, survivants et invalidité du 15 janvier 1971 (OPC-AVS/AI - RS 831.301) (arrêt du Tribunal fédéral 9C_301/2016 du 25 janvier 2017).</w:t>
      </w:r>
    </w:p>
    <w:p>
      <w:r>
        <w:rPr>
          <w:b/>
        </w:rPr>
        <w:t>E. 2.4</w:t>
      </w:r>
    </w:p>
    <w:p>
      <w:r>
        <w:t>En l’occurrence, la recourante est seule bénéficiaire des prestations complémentaires, de sorte que c’est à raison que la décision litigieuse lui a été notifiée à l’exclusion de son époux. Elle dispose donc de la qualité pour recourir. Quant à son époux, en tant que conjoint de l’ayant droit, il dispose également du droit de demander des prestations complémentaires auprès de l’intimé, de sorte que la qualité pour recourir à l’encontre de la décision de l’intimé doit aussi lui être reconnue. Partant, la recourante et son époux disposent de la légitimation active pour contester la décision litigieuse.</w:t>
      </w:r>
    </w:p>
    <w:p>
      <w:r>
        <w:rPr>
          <w:b/>
        </w:rPr>
        <w:t>E. 2.5</w:t>
      </w:r>
    </w:p>
    <w:p>
      <w:r>
        <w:t>Interjeté en temps utile, le recours est recevable (art. 60 al. 1 LPGA).</w:t>
      </w:r>
    </w:p>
    <w:p>
      <w:r>
        <w:rPr>
          <w:b/>
        </w:rPr>
        <w:t>E. 3</w:t>
      </w:r>
    </w:p>
    <w:p>
      <w:r>
        <w:t>Le litige porte sur la question de savoir si la recourante peut bénéficier d’une remise de l’obligation de rembourser CHF 22'328.-.</w:t>
      </w:r>
    </w:p>
    <w:p>
      <w:r>
        <w:rPr>
          <w:b/>
        </w:rPr>
        <w:t>E. 4.1.1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w:t>
      </w:r>
    </w:p>
    <w:p>
      <w:r>
        <w:t>A/3105/2024 - 6/13 - déterminant, pour apprécier s'il y a une situation difficile, le moment où la décision de restitution est exécutoire (al. 2).</w:t>
      </w:r>
    </w:p>
    <w:p>
      <w:r>
        <w:rPr>
          <w:b/>
        </w:rPr>
        <w:t>E. 4.1.2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4.1.3</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1re phrase LPGA et des dispositions particulières et, le cas échéant, une troisième décision sur la remise de l'obligation de restituer au sens de l'art. 25 al. 1, 2e phrase LPGA (cf. art. 3 et 4 OPGA ; arrêt du Tribunal fédéral 9C_678/2011 du 4 janvier 2012 consid. 5.1.1 et 5.2). Le délai de 30 jours prévu par l'art. 4 al. 4 OPGA pour le dépôt de la demande de remise est un délai d'ordre et non un délai de péremption (ATF 132 V 42 consid. 3).</w:t>
      </w:r>
    </w:p>
    <w:p>
      <w:r>
        <w:rPr>
          <w:b/>
        </w:rPr>
        <w:t>E. 4.2.1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4.2.2</w:t>
      </w:r>
    </w:p>
    <w:p>
      <w:r>
        <w:t>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w:t>
      </w:r>
    </w:p>
    <w:p>
      <w:r>
        <w:t>A/3105/2024 - 7/13 -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4.3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w:t>
      </w:r>
    </w:p>
    <w:p>
      <w:r>
        <w:rPr>
          <w:b/>
        </w:rPr>
        <w:t>E. 4.3.1</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w:t>
      </w:r>
    </w:p>
    <w:p>
      <w:r>
        <w:t>A/3105/2024 - 8/13 -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du Tribunal fédéral 8C_441/2023 du 21 décembre 2023 consid. 3.2.2 et la référence). A en particulier été niée la bonne foi d’une bénéficiaire de prestations complémentaires qui avait omis d’annoncer une rente AI versée à son conjoint, dont une partie était versée avec effet rétroactif :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w:t>
      </w:r>
    </w:p>
    <w:p>
      <w:r>
        <w:rPr>
          <w:b/>
        </w:rPr>
        <w:t>E. 4.3.2</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1387 V 218 consid. 4 ; 112 V 97 consid. 2c ; arrêts du Tribunal fédéral 9C_16/2019 précité consid. 4 ; 9C_14/2007 du 2 mai 2007 consid. 4 ; DTA 2003 n. 29 p. 260 consid. 1.2 et les références ; RSAS 1999 p. 384 ; Ueli KIESER, Kommentar zum Bundesgesetz über den Allgemeinen Teil des Sozialversicherungsrechts - ATSG, 2020, n. 65 ad art. 25 LPGA).</w:t>
      </w:r>
    </w:p>
    <w:p>
      <w:r>
        <w:rPr>
          <w:b/>
        </w:rPr>
        <w:t>E. 4.4</w:t>
      </w:r>
    </w:p>
    <w:p>
      <w:r>
        <w:t>Conformément à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L'art. 16 RPCC-AVS/AI reprend les mêmes principes que la législation fédérale susmentionnée : est déterminant, pour apprécier s'il y a une situation difficile, le moment où la décision de restitution est exécutoire (al.1) ; il y a une situation difficile lorsque les conditions de l'art. 5 OPGA, appliqué par analogie, sont réalisées (al. 2).</w:t>
      </w:r>
    </w:p>
    <w:p>
      <w:r>
        <w:t>A/3105/2024 - 9/13 -</w:t>
      </w:r>
    </w:p>
    <w:p>
      <w:r>
        <w:rPr>
          <w:b/>
        </w:rPr>
        <w:t>E. 4.4.1</w:t>
      </w:r>
    </w:p>
    <w:p>
      <w:r>
        <w:t>Dans le cadre de l'examen de la condition de la situation difficile (art. 25 al. 1 LPGA), lorsqu'un assuré a reçu, pour une période pendant laquelle il a déjà perçu des prestations complémentaires, des éléments de fortune versés rétroactivement (par exemple un paiement rétroactif de rentes), il convient de prendre en considération cette circonstance. Le Tribunal fédéral a ainsi jugé que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 arrêts du Tribunal fédéral 9C_787/2020 ; 9C_22/2021 du 14 avril 2021 consid. 4.2 et les références), le patrimoine dont il s'est dessaisi devra être traité comme s'il en avait encore la maîtrise effective, en appliquant par analogie les règles sur le dessaisissement de fortune au sens des art. 11 al. 1 let. g aLPC et 17a aOPC-AVS/Al (arrêts du Tribunal fédéral 8C_954/2008 du 29 mai 2009 consid. 7.2 et les références ; 8C_766/2007 du 17 avril 2008 consid. 4.2 ; C 93/05 du 20 janvier 2007 consid. 5.3.4 ; 9C_246/2022 du 6 décembre 2022 consid. 3.3). Par ailleurs, la détermination des revenus et des dépenses doit être effectuée en tenant compte de l’ensemble des conditions d’existence de la personne tenue à restituer. Ainsi, pour les personnes mariées, le revenu et la fortune de deux conjoints sont pris en compte sans égard à leur régime matrimonial pour autant qu’ils ne soient pas séparés (ATF 116 V 290 consid. 2a). Si la restitution incombe aux héritiers, cette condition doit être remplie par chacun d’eux (ATF 96 V 72 consid. 2).</w:t>
      </w:r>
    </w:p>
    <w:p>
      <w:r>
        <w:rPr>
          <w:b/>
        </w:rPr>
        <w:t>E. 4.4.2</w:t>
      </w:r>
    </w:p>
    <w:p>
      <w:r>
        <w:t>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(ATF 146 V 306 consid. 2.3.2 ; arrêts du Tribunal fédéral P 65/04 du 29 août 2005 consid. 5.3.2 ; 9C_377/2021 du 22 octobre 2021 consid. 3.3 et les références ; 9C_246/2022 du 6 décembre 2022 consid. 3.4).</w:t>
      </w:r>
    </w:p>
    <w:p>
      <w:r>
        <w:rPr>
          <w:b/>
        </w:rPr>
        <w:t>E. 4.4.3</w:t>
      </w:r>
    </w:p>
    <w:p>
      <w:r>
        <w:t>À teneur des directives concernant les prestations complémentaires à l'AVS et à l'AI (ci-après : DPC), valables dès le 1er avril 2011 (état au 1er janvier 2021), pour l’établissement des revenus déterminants et de la fortune, on se fondera en règle générale sur les revenus obtenus au cours de l’année civile précédente et sur la fortune déterminante au 1er janvier de l’année civile au cours de laquelle la décision de restitution est exécutoire. S’agissant des rentes, pensions et autres prestations périodiques, ce sont toutefois les prestations de l’année en cours qui</w:t>
      </w:r>
    </w:p>
    <w:p>
      <w:r>
        <w:t>A/3105/2024 - 10/13 - sont prises en compte. Si la situation économique s’est modifiée jusqu’au moment où la décision de restitution est exécutoire, il importe de tenir compte des changements intervenus (DPC n. 4653.03). Si des PC doivent être restituées en raison d’un versement rétroactif de prestations d’assurances sociales, on ne saurait opposer à l’ordre de restitution une éventuelle situation difficile lorsque les versements rétroactifs de prestations sont d’un montant au moins identique et : qu’aux conditions prévues par l’art. 20 al. 2 LPC, le montant à restituer peut être compensé avec les prestations en question ; que les moyens financiers résultant du versement rétroactif existent encore au moment où la décision portant sur la restitution des PC est rendue ; ou que le bénéficiaire de PC a utilisé les moyens financiers résultant du versement rétroactif à d’autres fins malgré l’attente d’une éventuelle restitution des PC. En revanche, si le montant de la restitution est supérieur au montant du paiement rétroactif, la situation difficile ne peut exister que pour le montant de la différence (DPC n° 4653.04).</w:t>
      </w:r>
    </w:p>
    <w:p>
      <w:r>
        <w:rPr>
          <w:b/>
        </w:rPr>
        <w:t>E. 5</w:t>
      </w:r>
    </w:p>
    <w:p>
      <w:r>
        <w:t>septembre 2022) ont été quasiment en totalité retirés au bancomat pour CHF 8'000.- le 18 août 2022 et pour CHF 13'800.- le 12 septembre 2022, soit pour un montant total de CHF 21'800.-. Au 31 décembre 2022, le compte UBS du recourant présentait un solde négatif de CHF 65.76 et le compte CRÉDIT SUISSE de la recourante un solde positif de CHF 887.85. Le capital obtenu grâce au rétroactif de rente d’invalidité n’existait ainsi plus au moment où la décision de restitution était exécutoire.</w:t>
      </w:r>
    </w:p>
    <w:p>
      <w:r>
        <w:rPr>
          <w:b/>
        </w:rPr>
        <w:t>E. 5.1</w:t>
      </w:r>
    </w:p>
    <w:p>
      <w:r>
        <w:t>Les recourants estiment tout d’abord qu’ils étaient de bonne foi de septembre à novembre 2022, au motif qu’ils pensaient que les décisions de l’OAI étaient automatiquement transmises à l’intimé, qu’ils avaient annoncé le rétroactif de rente à l’intimé à peine deux mois après sa réception et qu’ils pensaient ne rien devoir à l’intimé, dès lors qu’aucun remboursement n’avait été exigé de la recourante lorsqu’elle avait reçu un rétroactif de rente d’invalidité en 2016. Ces arguments ne résistent pas à l’examen. Courant août 2022, les recourants ont été informés du droit du recourant à une rente d’invalidité depuis le 1er janvier 2019. Dans ces conditions, même s’ils pensaient que les décisions de l’OAI du 15 août 2022 étaient transmises automatiquement à l’intimé, ils devaient savoir, à tout le moins dès septembre 2022, que ce revenu supplémentaire serait pris en compte et pourrait aboutir à une demande de remboursement des prestations complémentaires versées en trop. En conséquence, même si les recourants estiment qu’ils ont transmis sans retard les décisions de l’OAI à l’intimé, soit le 20 octobre 2022, ce qui n’est d’ailleurs pas contesté par celui-ci, leur bonne foi ne peut être admise puisqu’ils devaient savoir qu’une partie des prestations complémentaires versées dès le mois de septembre 2022 pouvait être indue. Enfin, la recourante ayant été mise au bénéfice de prestations complémentaires depuis le 1er juin 2017 seulement (cf. décision de l’intimé du 12 juin 2017), elle ne peut se prévaloir du fait qu’aucune prestation complémentaire ne lui aurait été demandée en remboursement à l’occasion du versement, qu’elle allègue, d’un rétroactif de sa rente d’invalidité, courant 2016. Partant, c’est à raison que l’intimé a nié la bonne foi des recourants de septembre à novembre 2022. En conséquence, la remise de l’obligation de restituer pourrait,</w:t>
      </w:r>
    </w:p>
    <w:p>
      <w:r>
        <w:t>A/3105/2024 - 11/13 - sous réserve de la réalisation de la condition difficile, être allouée pour les prestations reçues à tort du 1er janvier 2019 au 31 août 2022.</w:t>
      </w:r>
    </w:p>
    <w:p>
      <w:r>
        <w:rPr>
          <w:b/>
        </w:rPr>
        <w:t>E. 5.2</w:t>
      </w:r>
    </w:p>
    <w:p>
      <w:r>
        <w:t>S’agissant de la condition difficile, l’intimé estime qu’elle n’est pas remplie, dès lors que, d’une part, les recourants ont reçu un rétroactif de rente d’invalidité supérieur au solde à rembourser, d’autre part, qu’ils n’ont pas été à même de justifier l’utilisation des montants reçus. Quant aux recourants, ils font valoir qu’ils ont remboursé une dette envers le frère de la recourante.</w:t>
      </w:r>
    </w:p>
    <w:p>
      <w:r>
        <w:rPr>
          <w:b/>
        </w:rPr>
        <w:t>E. 5.2.1</w:t>
      </w:r>
    </w:p>
    <w:p>
      <w:r>
        <w:t>La décision de restitution du 25 novembre 2022 était exécutoire fin décembre 2022, moment qui est ainsi déterminant pour apprécier l’existence d’une situation difficile. Selon l’extrait du compte UBS du recourant, les montants reçus de la caisse, soit un total de CHF 22'202.- (soit CHF 8'363.- le 17 août 2022 et CHF 13'839.- le</w:t>
      </w:r>
    </w:p>
    <w:p>
      <w:r>
        <w:rPr>
          <w:b/>
        </w:rPr>
        <w:t>E. 5.2.2</w:t>
      </w:r>
    </w:p>
    <w:p>
      <w:r>
        <w:t>Cependant, il y a encore lieu d’examiner les raisons de la diminution du patrimoine des recourants. Ceux-ci invoquent le remboursement de CHF 22'000.- en septembre 2022 d’une dette envers le frère de la recourante de CHF 29'881.23. Comme relevé par l’intimé, le remboursement de cette dette n’apparait pas, au degré de la vraisemblance prépondérante, comme étant établi. Les recourants ont annoncé cette dette seulement au stade du recours et elle n’est attestée que par un document signé du frère de la recourante le 14 octobre 2024, soit postérieurement à la décision litigieuse. Par ailleurs, ils ont effectué un retrait au bancomat de CHF 8'000.- le 18 août 2022 déjà, alors que le frère de la recourante a indiqué avoir séjourné en Suisse en septembre 2022 et obtenu à ce moment-là le remboursement. On comprend mal l’urgence d’un retrait d’argent cash pour en opérer un remboursement à tout le moins 18 jours plus tard (le second retrait ayant eu lieu le 5 septembre 2022). En outre, la preuve d’un versement de CHF 5'107.65 le 4 mars 2008 par la société E______, dont le lien avec le frère de la recourante n’apparait pas, n’est pas suffisant non plus pour attester d’une dette des recourants envers ce dernier, étant relevé que le solde de la dette n’est établi par aucun document. Quoi qu’il en soit, dès lors que les recourants devaient s’attendre, dès le versement du rétroactif de la rente d’invalidité, à devoir rembourser l’intimé des prestations versées en trop, le remboursement précipité de la dette envers le frère de la recourante, même avéré, ne permet pas d’admettre la condition de la</w:t>
      </w:r>
    </w:p>
    <w:p>
      <w:r>
        <w:t>A/3105/2024 - 12/13 - situation difficile (à cet égard arrêt du Tribunal fédéral 9C_139/2015 du 9 mars 2015).</w:t>
      </w:r>
    </w:p>
    <w:p>
      <w:r>
        <w:rPr>
          <w:b/>
        </w:rPr>
        <w:t>E. 5.2.3</w:t>
      </w:r>
    </w:p>
    <w:p>
      <w:r>
        <w:t>Le rétroactif de rente d’invalidité reçu, soit un montant de CHF 22'202.-, étant toutefois légèrement inférieur au montant dont la restitution est exigée, de CHF 22'328.-, la remise de l’obligation de restituer peut être admise pour le solde de CHF 126.- (CHF 22'328 - CHF 22'202).</w:t>
      </w:r>
    </w:p>
    <w:p>
      <w:r>
        <w:rPr>
          <w:b/>
        </w:rPr>
        <w:t>E. 6</w:t>
      </w:r>
    </w:p>
    <w:p>
      <w:r>
        <w:t>Partant le recours sera partiellement admis et la décision litigieuse du 21 août 2024 annulée, la demande de remise étant admise à hauteur de CHF 126.- et rejetée pour le surplus. La procédure est gratuite (art. 61 let. fbis LPGA a contrario).</w:t>
      </w:r>
    </w:p>
    <w:p>
      <w:r>
        <w:t>A/3105/2024 - 13/13 -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