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ATAS/228/2022 vom 9. März 2022</w:t>
      </w:r>
    </w:p>
    <w:p>
      <w:r>
        <w:t>GE Cour de justice, 2022-03-09, FR</w:t>
      </w:r>
    </w:p>
    <w:p>
      <w:r>
        <w:rPr>
          <w:b/>
        </w:rPr>
        <w:t xml:space="preserve">Quelle: </w:t>
      </w:r>
      <w:r>
        <w:t>https://mcp.opencaselaw.ch/entscheid/ge_gerichte_ATAS_228_2022</w:t>
      </w:r>
    </w:p>
    <w:p>
      <w:r>
        <w:t>FR: GE_GERICHTE ATAS/228/2022 du 9 mars 2022</w:t>
      </w:r>
    </w:p>
    <w:p>
      <w:r>
        <w:t>IT: GE_GERICHTE ATAS/228/2022 del 9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bien-fondé du refus de l'intimée de verser l’indemnité en cas de RHT à la recourante pour le mois d’avril 2020.</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w:t>
      </w:r>
    </w:p>
    <w:p>
      <w:r>
        <w:t>A/3172/2021 - 5/8 -</w:t>
      </w:r>
    </w:p>
    <w:p>
      <w:r>
        <w:rPr>
          <w:b/>
        </w:rPr>
        <w:t>E. 4.2</w:t>
      </w:r>
    </w:p>
    <w:p>
      <w:r>
        <w:t>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Selon l'art. 38 al. 1 LACI, dans le délai de trois mois à compter de l’expiration de chaque période de décompte, l’employeur fait valoir auprès de la caisse qu’il a désignée l’ensemble des prétentions à indemnité pour les travailleurs de son entreprise. Selon l'al. 3, l'employeur remet à cet effet à la caisse : a. les documents nécessaires à la poursuite de l’examen du droit à l’indemnité et au calcul de celle 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Aux termes de l'art. 39 al. 3 LACI, les indemnités que l’employeur ne prétend pas, dans le délai prévu à l’art. 38 al. 1, ne lui sont pas remboursées. 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Selon la jurisprudence, ce délai commence à courir à l'expiration de la période de décompte en cause, cela indépendamment du point de savoir si l'autorité cantonale a déjà statué sur le droit aux prestations (ATF 124 V 75). 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w:t>
      </w:r>
    </w:p>
    <w:p>
      <w:r>
        <w:rPr>
          <w:b/>
        </w:rPr>
        <w:t>E. 4.3</w:t>
      </w:r>
    </w:p>
    <w:p>
      <w:r>
        <w:t>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Ainsi, lorsque l'envoi se fait par voie</w:t>
      </w:r>
    </w:p>
    <w:p>
      <w:r>
        <w:t>A/3172/2021 - 6/8 -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124 V 372 consid. 3b p. 375, cf. aussi Anne Sylvie DUPONT, in Commentaire romand, Loi sur la partie générale des assurances sociales, 2018, n. 8 s. ad art. 39 LPGA).</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4.5</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w:t>
      </w:r>
    </w:p>
    <w:p>
      <w:r>
        <w:t>A/3172/2021 - 7/8 - DTA 2000 no 25 p. 122 ; cf. aussi arrêts du Tribunal fédéral 8C_427/2010 du 25 août 2010 consid. 5.1 ; 8C_591/2012 du 29 juillet 2013).</w:t>
      </w:r>
    </w:p>
    <w:p>
      <w:r>
        <w:rPr>
          <w:b/>
        </w:rPr>
        <w:t>E. 5.1</w:t>
      </w:r>
    </w:p>
    <w:p>
      <w:r>
        <w:t>En l’espèce, à teneur du dossier de l’intimée, la recourante a déposé auprès d’elle des décomptes RHT pour les mois de mars, mai et juin 2020. Elle indique avoir adressé à l’intimée son décompte pour le mois d’avril 2020, sans être en mesure de le prouver, l’ayant adressé en courrier A. Le fait qu’il ressorte de la copie dudit décompte transmis à l’intimée le 21 décembre 2020 que celui-ci a été établi le 7 mai 2020 ne suffit pas à prouver qu’il a été envoyé ce jour-là à l’intimée.</w:t>
      </w:r>
    </w:p>
    <w:p>
      <w:r>
        <w:rPr>
          <w:b/>
        </w:rPr>
        <w:t>E. 5.2</w:t>
      </w:r>
    </w:p>
    <w:p>
      <w:r>
        <w:t>La chambre de céans ne donnera pas suite à la demande d’audition de M. B______, qui ne serait pas à même de prouver l’envoi effectif du décompte en temps utile, vu ses liens avec la recourante et la jurisprudence restrictive en la matière. Ce n’est en effet que dans le contexte du dépôt d’un recommandé dans une boîte aux lettres publique après l'heure de la dernière levée, que l’on peut apporter la preuve du respect du délai au moyen de témoignages et de plus à des conditions particulières. Il convient donc de retenir que la recourante n’a pas transmis à l’intimée son décompte pour le mois d’avril en temps utile, de sorte que c’est à juste titre que cette dernière ne l’a pas indemnisée pour ce mois.</w:t>
      </w:r>
    </w:p>
    <w:p>
      <w:r>
        <w:rPr>
          <w:b/>
        </w:rPr>
        <w:t>E. 5.3</w:t>
      </w:r>
    </w:p>
    <w:p>
      <w:r>
        <w:t>La recourante n’a pas fait valoir de motif de restitution du délai de recours, au sens de l'art. 41 LPGA et il ne ressort pas des faits de la cause qu’il pourrait y en avoir un.</w:t>
      </w:r>
    </w:p>
    <w:p>
      <w:r>
        <w:rPr>
          <w:b/>
        </w:rPr>
        <w:t>E. 5.4</w:t>
      </w:r>
    </w:p>
    <w:p>
      <w:r>
        <w:t>La recourante ne peut pas non plus se prévaloir d’un défaut de renseignement de l’intimée. En effet, le Tribunal fédéral a précisé qu'aucun devoir de renseignement ou de conseil au sens de l'art. 27 LPGA n'incombe à l'institution d'assurance tant qu'elle ne peut, en prêtant l'attention usuelle, reconnaître que la personne assurée se trouve dans une situation dans laquelle elle risque de perdre son droit aux prestations (ATF 133 V 249 consid. 7.2). En l’espèce, la caisse ne disposait d'aucun indice particulier qui lui imposait au regard du principe de la bonne foi de renseigner la recourante. Le seul fait que cette dernière ne lui avait pas transmis de décompte pour le mois d’avril alors qu’elle l’avait fait pour les mois de mars et mai ne suffit pas à fonder une telle obligation, ce d’autant moins que la recourante bénéficiait de l’assistance d’une fiduciaire.</w:t>
      </w:r>
    </w:p>
    <w:p>
      <w:r>
        <w:rPr>
          <w:b/>
        </w:rPr>
        <w:t>E. 6</w:t>
      </w:r>
    </w:p>
    <w:p>
      <w:r>
        <w:t>Infondé, le recours doit être rejeté. Pour le surplus, la procédure est gratuite (art. 61 let. fbis a contrario LPGA). ***</w:t>
      </w:r>
    </w:p>
    <w:p>
      <w:r>
        <w:t>A/3172/2021 - 8/8 -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